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B226A" w14:textId="380C7377" w:rsidR="00A51C26" w:rsidRPr="00EA6BEC" w:rsidRDefault="00E05A6B" w:rsidP="00E05A6B">
      <w:pPr>
        <w:jc w:val="center"/>
        <w:rPr>
          <w:rFonts w:ascii="Arial" w:hAnsi="Arial" w:cs="Arial"/>
          <w:color w:val="0070C0"/>
          <w:spacing w:val="-14"/>
          <w:sz w:val="52"/>
          <w:szCs w:val="52"/>
          <w:lang w:val="en-GB" w:eastAsia="en-GB"/>
          <w14:textOutline w14:w="0" w14:cap="flat" w14:cmpd="sng" w14:algn="ctr">
            <w14:noFill/>
            <w14:prstDash w14:val="solid"/>
            <w14:bevel/>
          </w14:textOutline>
        </w:rPr>
      </w:pPr>
      <w:bookmarkStart w:id="0" w:name="_GoBack"/>
      <w:bookmarkEnd w:id="0"/>
      <w:r>
        <w:rPr>
          <w:rFonts w:ascii="Arial" w:hAnsi="Arial" w:cs="Arial"/>
          <w:color w:val="0070C0"/>
          <w:spacing w:val="-14"/>
          <w:sz w:val="52"/>
          <w:szCs w:val="52"/>
          <w:lang w:val="en-GB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Coronavirus (COVID-19) catch up </w:t>
      </w:r>
      <w:r w:rsidR="00284A41" w:rsidRPr="00EA6BEC">
        <w:rPr>
          <w:rFonts w:ascii="Arial" w:hAnsi="Arial" w:cs="Arial"/>
          <w:color w:val="0070C0"/>
          <w:spacing w:val="-14"/>
          <w:sz w:val="52"/>
          <w:szCs w:val="52"/>
          <w:lang w:val="en-GB" w:eastAsia="en-GB"/>
          <w14:textOutline w14:w="0" w14:cap="flat" w14:cmpd="sng" w14:algn="ctr">
            <w14:noFill/>
            <w14:prstDash w14:val="solid"/>
            <w14:bevel/>
          </w14:textOutline>
        </w:rPr>
        <w:t>premium spend report</w:t>
      </w:r>
    </w:p>
    <w:p w14:paraId="6FB7EA80" w14:textId="551AAE93" w:rsidR="000A4F09" w:rsidRPr="00EA6BEC" w:rsidRDefault="00EA6BEC" w:rsidP="003F385E">
      <w:pPr>
        <w:jc w:val="center"/>
        <w:rPr>
          <w:rFonts w:ascii="Arial" w:hAnsi="Arial" w:cs="Arial"/>
          <w:b/>
          <w:bCs/>
          <w:color w:val="0070C0"/>
          <w:spacing w:val="-14"/>
          <w:sz w:val="32"/>
          <w:szCs w:val="32"/>
          <w:lang w:val="en-GB"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EA6BEC">
        <w:rPr>
          <w:rFonts w:ascii="Arial" w:hAnsi="Arial" w:cs="Arial"/>
          <w:b/>
          <w:bCs/>
          <w:color w:val="0070C0"/>
          <w:spacing w:val="-14"/>
          <w:sz w:val="72"/>
          <w:szCs w:val="72"/>
          <w:lang w:val="en-GB" w:eastAsia="en-GB"/>
          <w14:textOutline w14:w="0" w14:cap="flat" w14:cmpd="sng" w14:algn="ctr">
            <w14:noFill/>
            <w14:prstDash w14:val="solid"/>
            <w14:bevel/>
          </w14:textOutline>
        </w:rPr>
        <w:t>Castle Hill Community</w:t>
      </w:r>
      <w:r w:rsidR="00284A41" w:rsidRPr="00EA6BEC">
        <w:rPr>
          <w:rFonts w:ascii="Arial" w:hAnsi="Arial" w:cs="Arial"/>
          <w:b/>
          <w:bCs/>
          <w:color w:val="0070C0"/>
          <w:spacing w:val="-14"/>
          <w:sz w:val="72"/>
          <w:szCs w:val="72"/>
          <w:lang w:val="en-GB"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Primary School</w:t>
      </w:r>
    </w:p>
    <w:p w14:paraId="4F6E16D0" w14:textId="0C7AD452" w:rsidR="000A4F09" w:rsidRPr="00EA6BEC" w:rsidRDefault="000A4F09" w:rsidP="000A4F09">
      <w:pPr>
        <w:rPr>
          <w:rFonts w:ascii="Arial" w:hAnsi="Arial" w:cs="Arial"/>
          <w:b/>
          <w:bCs/>
          <w:color w:val="0070C0"/>
          <w:spacing w:val="-14"/>
          <w:sz w:val="32"/>
          <w:szCs w:val="32"/>
          <w:lang w:val="en-GB" w:eastAsia="en-GB"/>
          <w14:textOutline w14:w="0" w14:cap="flat" w14:cmpd="sng" w14:algn="ctr">
            <w14:noFill/>
            <w14:prstDash w14:val="solid"/>
            <w14:bevel/>
          </w14:textOutline>
        </w:rPr>
      </w:pPr>
    </w:p>
    <w:p w14:paraId="21546034" w14:textId="0038FB5F" w:rsidR="000A4F09" w:rsidRPr="00EA6BEC" w:rsidRDefault="000A4F09" w:rsidP="0033395F">
      <w:pPr>
        <w:jc w:val="center"/>
        <w:rPr>
          <w:rFonts w:ascii="Rockwell Bold" w:hAnsi="Rockwell Bold" w:cs="Arial Unicode MS" w:hint="eastAsia"/>
          <w:color w:val="0070C0"/>
          <w:spacing w:val="-14"/>
          <w:sz w:val="46"/>
          <w:szCs w:val="46"/>
          <w:lang w:val="en-GB"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EA6BEC">
        <w:rPr>
          <w:rFonts w:ascii="Arial" w:hAnsi="Arial" w:cs="Arial"/>
          <w:b/>
          <w:bCs/>
          <w:color w:val="0070C0"/>
          <w:spacing w:val="-14"/>
          <w:sz w:val="40"/>
          <w:szCs w:val="40"/>
          <w:lang w:val="en-GB" w:eastAsia="en-GB"/>
          <w14:textOutline w14:w="0" w14:cap="flat" w14:cmpd="sng" w14:algn="ctr">
            <w14:noFill/>
            <w14:prstDash w14:val="solid"/>
            <w14:bevel/>
          </w14:textOutline>
        </w:rPr>
        <w:t>Summary Information</w:t>
      </w:r>
    </w:p>
    <w:tbl>
      <w:tblPr>
        <w:tblStyle w:val="TableGrid"/>
        <w:tblpPr w:leftFromText="180" w:rightFromText="180" w:vertAnchor="text" w:horzAnchor="page" w:tblpX="16066" w:tblpY="88"/>
        <w:tblW w:w="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"/>
        <w:gridCol w:w="236"/>
      </w:tblGrid>
      <w:tr w:rsidR="00E05A6B" w14:paraId="2279DC7D" w14:textId="77777777" w:rsidTr="00E05A6B">
        <w:trPr>
          <w:trHeight w:val="355"/>
        </w:trPr>
        <w:tc>
          <w:tcPr>
            <w:tcW w:w="256" w:type="dxa"/>
          </w:tcPr>
          <w:p w14:paraId="64CEC959" w14:textId="77777777" w:rsidR="00E05A6B" w:rsidRPr="00FC42F9" w:rsidRDefault="00E05A6B" w:rsidP="00E05A6B">
            <w:pPr>
              <w:pStyle w:val="Heading"/>
              <w:spacing w:before="0" w:after="0" w:line="240" w:lineRule="auto"/>
              <w:rPr>
                <w:rFonts w:ascii="Arial" w:hAnsi="Arial" w:cs="Arial"/>
                <w:color w:val="7800AF"/>
                <w:sz w:val="44"/>
                <w:szCs w:val="44"/>
                <w:lang w:val="en-GB"/>
              </w:rPr>
            </w:pPr>
          </w:p>
        </w:tc>
        <w:tc>
          <w:tcPr>
            <w:tcW w:w="236" w:type="dxa"/>
          </w:tcPr>
          <w:p w14:paraId="6C0F4FEB" w14:textId="77777777" w:rsidR="00E05A6B" w:rsidRDefault="00E05A6B" w:rsidP="00E05A6B">
            <w:pPr>
              <w:pStyle w:val="Heading"/>
              <w:spacing w:before="0" w:after="0" w:line="240" w:lineRule="auto"/>
              <w:rPr>
                <w:rFonts w:ascii="Arial" w:hAnsi="Arial" w:cs="Arial"/>
                <w:color w:val="7800AF"/>
                <w:sz w:val="44"/>
                <w:szCs w:val="44"/>
                <w:lang w:val="en-GB"/>
              </w:rPr>
            </w:pPr>
          </w:p>
        </w:tc>
      </w:tr>
    </w:tbl>
    <w:p w14:paraId="0268830D" w14:textId="7E7E95DA" w:rsidR="000A4F09" w:rsidRPr="000A4F09" w:rsidRDefault="000A4F09" w:rsidP="000A4F09">
      <w:pPr>
        <w:rPr>
          <w:rFonts w:ascii="Rockwell Bold" w:hAnsi="Rockwell Bold" w:cs="Arial Unicode MS" w:hint="eastAsia"/>
          <w:color w:val="236794"/>
          <w:spacing w:val="-14"/>
          <w:lang w:val="en-GB" w:eastAsia="en-GB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25"/>
        <w:gridCol w:w="762"/>
        <w:gridCol w:w="665"/>
        <w:gridCol w:w="5237"/>
        <w:gridCol w:w="6020"/>
      </w:tblGrid>
      <w:tr w:rsidR="00284A41" w:rsidRPr="001B794F" w14:paraId="15494861" w14:textId="77777777" w:rsidTr="000A4F09">
        <w:tc>
          <w:tcPr>
            <w:tcW w:w="0" w:type="auto"/>
            <w:tcMar>
              <w:top w:w="57" w:type="dxa"/>
              <w:bottom w:w="57" w:type="dxa"/>
            </w:tcMar>
          </w:tcPr>
          <w:p w14:paraId="5BF3C896" w14:textId="5113FE69" w:rsidR="00284A41" w:rsidRPr="0061337C" w:rsidRDefault="00284A41" w:rsidP="00A51C26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7800AF"/>
                <w:spacing w:val="-14"/>
                <w:sz w:val="28"/>
                <w:szCs w:val="28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A6BEC">
              <w:rPr>
                <w:rFonts w:ascii="Arial" w:hAnsi="Arial" w:cs="Arial"/>
                <w:b/>
                <w:bCs/>
                <w:color w:val="0070C0"/>
                <w:spacing w:val="-14"/>
                <w:sz w:val="28"/>
                <w:szCs w:val="28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Number of eligible pupils</w:t>
            </w:r>
          </w:p>
        </w:tc>
        <w:tc>
          <w:tcPr>
            <w:tcW w:w="0" w:type="auto"/>
            <w:gridSpan w:val="2"/>
            <w:tcMar>
              <w:top w:w="57" w:type="dxa"/>
              <w:bottom w:w="57" w:type="dxa"/>
            </w:tcMar>
          </w:tcPr>
          <w:p w14:paraId="326304E0" w14:textId="4F66F54C" w:rsidR="00284A41" w:rsidRPr="001B794F" w:rsidRDefault="00EA6BEC" w:rsidP="00A51C26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70C0"/>
                <w:spacing w:val="-14"/>
                <w:sz w:val="28"/>
                <w:szCs w:val="28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pacing w:val="-14"/>
                <w:sz w:val="28"/>
                <w:szCs w:val="28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380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1BBECBCF" w14:textId="6284A75A" w:rsidR="00284A41" w:rsidRPr="0061337C" w:rsidRDefault="00284A41" w:rsidP="00A51C26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7800AF"/>
                <w:spacing w:val="-14"/>
                <w:sz w:val="28"/>
                <w:szCs w:val="28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A6BEC">
              <w:rPr>
                <w:rFonts w:ascii="Arial" w:hAnsi="Arial" w:cs="Arial"/>
                <w:b/>
                <w:bCs/>
                <w:color w:val="0070C0"/>
                <w:spacing w:val="-14"/>
                <w:sz w:val="28"/>
                <w:szCs w:val="28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Amount of catch-up premium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019D9427" w14:textId="555700EE" w:rsidR="00284A41" w:rsidRPr="001B794F" w:rsidRDefault="00284A41" w:rsidP="00A51C26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0070C0"/>
                <w:spacing w:val="-14"/>
                <w:sz w:val="28"/>
                <w:szCs w:val="28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B794F">
              <w:rPr>
                <w:rFonts w:ascii="Arial" w:hAnsi="Arial" w:cs="Arial"/>
                <w:b/>
                <w:bCs/>
                <w:spacing w:val="-14"/>
                <w:sz w:val="28"/>
                <w:szCs w:val="28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£</w:t>
            </w:r>
            <w:r w:rsidR="00B23220">
              <w:rPr>
                <w:rFonts w:ascii="Arial" w:hAnsi="Arial" w:cs="Arial"/>
                <w:b/>
                <w:bCs/>
                <w:spacing w:val="-14"/>
                <w:sz w:val="28"/>
                <w:szCs w:val="28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31,200</w:t>
            </w:r>
          </w:p>
        </w:tc>
      </w:tr>
      <w:tr w:rsidR="0061337C" w:rsidRPr="0061337C" w14:paraId="4B968703" w14:textId="77777777" w:rsidTr="000A4F09">
        <w:tc>
          <w:tcPr>
            <w:tcW w:w="0" w:type="auto"/>
            <w:gridSpan w:val="5"/>
            <w:tcMar>
              <w:top w:w="57" w:type="dxa"/>
              <w:bottom w:w="57" w:type="dxa"/>
            </w:tcMar>
          </w:tcPr>
          <w:p w14:paraId="11AD976A" w14:textId="3957C06C" w:rsidR="00284A41" w:rsidRPr="0061337C" w:rsidRDefault="00284A41" w:rsidP="00A51C26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7800AF"/>
                <w:spacing w:val="-14"/>
                <w:sz w:val="28"/>
                <w:szCs w:val="28"/>
                <w:lang w:val="en-GB" w:eastAsia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A6BEC"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val="en-GB"/>
              </w:rPr>
              <w:t>School catch-up priorities</w:t>
            </w:r>
          </w:p>
        </w:tc>
      </w:tr>
      <w:tr w:rsidR="00F81DD9" w:rsidRPr="00AF2547" w14:paraId="07BFBB45" w14:textId="77777777" w:rsidTr="000A4F09">
        <w:tc>
          <w:tcPr>
            <w:tcW w:w="0" w:type="auto"/>
            <w:gridSpan w:val="2"/>
          </w:tcPr>
          <w:tbl>
            <w:tblPr>
              <w:tblStyle w:val="GridTable2-Accent1"/>
              <w:tblpPr w:leftFromText="180" w:rightFromText="180" w:vertAnchor="text" w:horzAnchor="margin" w:tblpY="73"/>
              <w:tblOverlap w:val="never"/>
              <w:tblW w:w="5771" w:type="dxa"/>
              <w:tblLook w:val="04A0" w:firstRow="1" w:lastRow="0" w:firstColumn="1" w:lastColumn="0" w:noHBand="0" w:noVBand="1"/>
            </w:tblPr>
            <w:tblGrid>
              <w:gridCol w:w="486"/>
              <w:gridCol w:w="796"/>
              <w:gridCol w:w="711"/>
              <w:gridCol w:w="478"/>
              <w:gridCol w:w="801"/>
              <w:gridCol w:w="716"/>
              <w:gridCol w:w="427"/>
              <w:gridCol w:w="716"/>
              <w:gridCol w:w="640"/>
            </w:tblGrid>
            <w:tr w:rsidR="00856EAD" w:rsidRPr="00A65C4F" w14:paraId="0F9CFAB3" w14:textId="77777777" w:rsidTr="00856EA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gridSpan w:val="9"/>
                </w:tcPr>
                <w:p w14:paraId="0CF434DF" w14:textId="29996F20" w:rsidR="00856EAD" w:rsidRPr="00A65C4F" w:rsidRDefault="00856EAD" w:rsidP="000F24F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Reading</w:t>
                  </w:r>
                </w:p>
              </w:tc>
            </w:tr>
            <w:tr w:rsidR="00856EAD" w:rsidRPr="00A65C4F" w14:paraId="204C2361" w14:textId="77777777" w:rsidTr="005962E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gridSpan w:val="3"/>
                  <w:vMerge w:val="restart"/>
                  <w:vAlign w:val="center"/>
                </w:tcPr>
                <w:p w14:paraId="144A5489" w14:textId="0ABDC72A" w:rsidR="00856EAD" w:rsidRPr="00A65C4F" w:rsidRDefault="00856EAD" w:rsidP="00856EA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Term 3 20</w:t>
                  </w:r>
                  <w:r w:rsidR="008931F2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19/</w:t>
                  </w:r>
                  <w:r w:rsidRPr="00A65C4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20 Data</w:t>
                  </w:r>
                </w:p>
              </w:tc>
              <w:tc>
                <w:tcPr>
                  <w:tcW w:w="0" w:type="auto"/>
                  <w:gridSpan w:val="3"/>
                  <w:vAlign w:val="center"/>
                </w:tcPr>
                <w:p w14:paraId="0299C565" w14:textId="0010F47F" w:rsidR="00856EAD" w:rsidRPr="00A65C4F" w:rsidRDefault="00E05A6B" w:rsidP="000F24F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Term 2</w:t>
                  </w:r>
                  <w:r w:rsidR="00856EAD" w:rsidRPr="00A65C4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 xml:space="preserve"> 202</w:t>
                  </w:r>
                  <w:r w:rsidR="008931F2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0/21</w:t>
                  </w:r>
                  <w:r w:rsidR="00856EAD" w:rsidRPr="00A65C4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 xml:space="preserve"> Data</w:t>
                  </w:r>
                </w:p>
              </w:tc>
              <w:tc>
                <w:tcPr>
                  <w:tcW w:w="0" w:type="auto"/>
                  <w:gridSpan w:val="3"/>
                  <w:vAlign w:val="center"/>
                </w:tcPr>
                <w:p w14:paraId="60365AF4" w14:textId="77777777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July 2021 Target</w:t>
                  </w:r>
                </w:p>
              </w:tc>
            </w:tr>
            <w:tr w:rsidR="008931F2" w:rsidRPr="00A65C4F" w14:paraId="06E26A94" w14:textId="77777777" w:rsidTr="005962EF">
              <w:trPr>
                <w:trHeight w:val="25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gridSpan w:val="3"/>
                  <w:vMerge/>
                  <w:vAlign w:val="center"/>
                </w:tcPr>
                <w:p w14:paraId="23F5F776" w14:textId="77777777" w:rsidR="00856EAD" w:rsidRPr="00A65C4F" w:rsidRDefault="00856EAD" w:rsidP="00856EA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E233EB0" w14:textId="77777777" w:rsidR="00856EAD" w:rsidRPr="00A65C4F" w:rsidRDefault="00856EAD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proofErr w:type="spellStart"/>
                  <w:r w:rsidRPr="00A65C4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Yr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14:paraId="1928B118" w14:textId="27FD4CF3" w:rsidR="00856EAD" w:rsidRPr="00A65C4F" w:rsidRDefault="00856EAD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EXS+</w:t>
                  </w:r>
                </w:p>
              </w:tc>
              <w:tc>
                <w:tcPr>
                  <w:tcW w:w="0" w:type="auto"/>
                  <w:vAlign w:val="center"/>
                </w:tcPr>
                <w:p w14:paraId="491EA050" w14:textId="77777777" w:rsidR="00856EAD" w:rsidRPr="00A65C4F" w:rsidRDefault="00856EAD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GDS</w:t>
                  </w:r>
                </w:p>
              </w:tc>
              <w:tc>
                <w:tcPr>
                  <w:tcW w:w="0" w:type="auto"/>
                  <w:vAlign w:val="center"/>
                </w:tcPr>
                <w:p w14:paraId="36F8F88D" w14:textId="77777777" w:rsidR="00856EAD" w:rsidRPr="00A65C4F" w:rsidRDefault="00856EAD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proofErr w:type="spellStart"/>
                  <w:r w:rsidRPr="00A65C4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Yr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14:paraId="08640AC0" w14:textId="77777777" w:rsidR="00856EAD" w:rsidRPr="00A65C4F" w:rsidRDefault="00856EAD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EXS+</w:t>
                  </w:r>
                </w:p>
              </w:tc>
              <w:tc>
                <w:tcPr>
                  <w:tcW w:w="0" w:type="auto"/>
                  <w:vAlign w:val="center"/>
                </w:tcPr>
                <w:p w14:paraId="00FD0CD8" w14:textId="77777777" w:rsidR="00856EAD" w:rsidRPr="00A65C4F" w:rsidRDefault="00856EAD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GDS</w:t>
                  </w:r>
                </w:p>
              </w:tc>
            </w:tr>
            <w:tr w:rsidR="008931F2" w:rsidRPr="00A65C4F" w14:paraId="3900B787" w14:textId="77777777" w:rsidTr="005962E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vAlign w:val="center"/>
                </w:tcPr>
                <w:p w14:paraId="371F5468" w14:textId="77777777" w:rsidR="00856EAD" w:rsidRPr="00A65C4F" w:rsidRDefault="00856EAD" w:rsidP="00856EA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proofErr w:type="spellStart"/>
                  <w:r w:rsidRPr="00A65C4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Yr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14:paraId="47F5F84E" w14:textId="77777777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EXS+</w:t>
                  </w:r>
                </w:p>
              </w:tc>
              <w:tc>
                <w:tcPr>
                  <w:tcW w:w="0" w:type="auto"/>
                  <w:vAlign w:val="center"/>
                </w:tcPr>
                <w:p w14:paraId="42439450" w14:textId="77777777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GDS</w:t>
                  </w:r>
                </w:p>
              </w:tc>
              <w:tc>
                <w:tcPr>
                  <w:tcW w:w="0" w:type="auto"/>
                  <w:vAlign w:val="center"/>
                </w:tcPr>
                <w:p w14:paraId="359DA1F2" w14:textId="77777777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</w:tcPr>
                <w:p w14:paraId="7B5A956E" w14:textId="2E897C64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D2398F7" w14:textId="4F23A5AB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9B02D3F" w14:textId="77777777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</w:tcPr>
                <w:p w14:paraId="36C4AAD8" w14:textId="448B1712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1DAFBF5" w14:textId="77777777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-</w:t>
                  </w:r>
                </w:p>
              </w:tc>
            </w:tr>
            <w:tr w:rsidR="008931F2" w:rsidRPr="00A65C4F" w14:paraId="5B27C498" w14:textId="77777777" w:rsidTr="005962EF">
              <w:trPr>
                <w:trHeight w:val="41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vAlign w:val="center"/>
                </w:tcPr>
                <w:p w14:paraId="6B8D817E" w14:textId="77777777" w:rsidR="00856EAD" w:rsidRPr="00A65C4F" w:rsidRDefault="00856EAD" w:rsidP="00856EA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</w:tcPr>
                <w:p w14:paraId="2EADBB9B" w14:textId="04C33C8F" w:rsidR="00856EAD" w:rsidRPr="00A65C4F" w:rsidRDefault="00963429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64</w:t>
                  </w:r>
                </w:p>
              </w:tc>
              <w:tc>
                <w:tcPr>
                  <w:tcW w:w="0" w:type="auto"/>
                  <w:vAlign w:val="center"/>
                </w:tcPr>
                <w:p w14:paraId="5A02F476" w14:textId="77777777" w:rsidR="00856EAD" w:rsidRPr="00A65C4F" w:rsidRDefault="00856EAD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</w:tcPr>
                <w:p w14:paraId="3E6933D3" w14:textId="77777777" w:rsidR="00856EAD" w:rsidRPr="00A65C4F" w:rsidRDefault="00856EAD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64F60123" w14:textId="114C963E" w:rsidR="00856EAD" w:rsidRPr="00A65C4F" w:rsidRDefault="00856EAD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C96939A" w14:textId="416F88B9" w:rsidR="00856EAD" w:rsidRPr="00A65C4F" w:rsidRDefault="00856EAD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7A94666" w14:textId="77777777" w:rsidR="00856EAD" w:rsidRPr="00A65C4F" w:rsidRDefault="00856EAD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43FE8D86" w14:textId="232C471F" w:rsidR="00856EAD" w:rsidRPr="00A65C4F" w:rsidRDefault="00856EAD" w:rsidP="0096342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78818B0" w14:textId="675A9AC7" w:rsidR="00856EAD" w:rsidRPr="00A65C4F" w:rsidRDefault="00856EAD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8931F2" w:rsidRPr="00A65C4F" w14:paraId="1ECF73E9" w14:textId="77777777" w:rsidTr="005962E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vAlign w:val="center"/>
                </w:tcPr>
                <w:p w14:paraId="1FADDEF3" w14:textId="77777777" w:rsidR="00856EAD" w:rsidRPr="00A65C4F" w:rsidRDefault="00856EAD" w:rsidP="00856EA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6C4EE10C" w14:textId="2A899115" w:rsidR="00856EAD" w:rsidRPr="00A65C4F" w:rsidRDefault="00963429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</w:tcPr>
                <w:p w14:paraId="291C8238" w14:textId="3B5E6B3B" w:rsidR="00856EAD" w:rsidRPr="00A65C4F" w:rsidRDefault="00963429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14:paraId="45BC77BC" w14:textId="77777777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6A4A3585" w14:textId="7299910C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BF4216F" w14:textId="2C366873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FB36B4E" w14:textId="77777777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412849DB" w14:textId="61047D6F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1A62B14" w14:textId="328E1D79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8931F2" w:rsidRPr="00A65C4F" w14:paraId="7889B690" w14:textId="77777777" w:rsidTr="005962EF">
              <w:trPr>
                <w:trHeight w:val="2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vAlign w:val="center"/>
                </w:tcPr>
                <w:p w14:paraId="179E7CBA" w14:textId="77777777" w:rsidR="00856EAD" w:rsidRPr="00A65C4F" w:rsidRDefault="00856EAD" w:rsidP="00856EA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36239F32" w14:textId="74934C5E" w:rsidR="00856EAD" w:rsidRPr="00A65C4F" w:rsidRDefault="00963429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</w:tcPr>
                <w:p w14:paraId="0F9F20C7" w14:textId="518ABD29" w:rsidR="00856EAD" w:rsidRPr="00A65C4F" w:rsidRDefault="00963429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14:paraId="66B91D13" w14:textId="77777777" w:rsidR="00856EAD" w:rsidRPr="00A65C4F" w:rsidRDefault="00856EAD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669D573D" w14:textId="7D5ACB80" w:rsidR="00856EAD" w:rsidRPr="00A65C4F" w:rsidRDefault="00856EAD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D28AA3C" w14:textId="27B20EAC" w:rsidR="00856EAD" w:rsidRPr="00A65C4F" w:rsidRDefault="00856EAD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C1788ED" w14:textId="77777777" w:rsidR="00856EAD" w:rsidRPr="00A65C4F" w:rsidRDefault="00856EAD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0DECD0BB" w14:textId="50DF99D9" w:rsidR="00856EAD" w:rsidRPr="00A65C4F" w:rsidRDefault="00856EAD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110473C" w14:textId="4B2EF6CD" w:rsidR="00856EAD" w:rsidRPr="00A65C4F" w:rsidRDefault="00856EAD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8931F2" w:rsidRPr="00A65C4F" w14:paraId="439A3453" w14:textId="77777777" w:rsidTr="005962E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vAlign w:val="center"/>
                </w:tcPr>
                <w:p w14:paraId="562DB67C" w14:textId="77777777" w:rsidR="00856EAD" w:rsidRPr="00A65C4F" w:rsidRDefault="00856EAD" w:rsidP="00856EA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32BE9CC6" w14:textId="717F94E4" w:rsidR="00856EAD" w:rsidRPr="00A65C4F" w:rsidRDefault="00963429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55</w:t>
                  </w:r>
                </w:p>
              </w:tc>
              <w:tc>
                <w:tcPr>
                  <w:tcW w:w="0" w:type="auto"/>
                  <w:vAlign w:val="center"/>
                </w:tcPr>
                <w:p w14:paraId="559116B8" w14:textId="5287B632" w:rsidR="00856EAD" w:rsidRPr="00A65C4F" w:rsidRDefault="00963429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3A2172ED" w14:textId="77777777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3042BF06" w14:textId="7EA6C542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BA70341" w14:textId="4135EBAA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1347F53" w14:textId="77777777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76055B28" w14:textId="6971914D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686FCBA" w14:textId="63B75BEA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8931F2" w:rsidRPr="00A65C4F" w14:paraId="62692880" w14:textId="77777777" w:rsidTr="005962EF">
              <w:trPr>
                <w:trHeight w:val="2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vAlign w:val="center"/>
                </w:tcPr>
                <w:p w14:paraId="0DD63C4E" w14:textId="3DC1C0B5" w:rsidR="00856EAD" w:rsidRPr="00A65C4F" w:rsidRDefault="00856EAD" w:rsidP="00856EA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6ED4423E" w14:textId="33DF84CA" w:rsidR="00856EAD" w:rsidRPr="00A65C4F" w:rsidRDefault="00963429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</w:tcPr>
                <w:p w14:paraId="5FFE306B" w14:textId="3B657002" w:rsidR="00856EAD" w:rsidRPr="00A65C4F" w:rsidRDefault="00963429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3594684A" w14:textId="77777777" w:rsidR="00856EAD" w:rsidRPr="00A65C4F" w:rsidRDefault="00856EAD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1971BC8C" w14:textId="693EB145" w:rsidR="00856EAD" w:rsidRPr="00A65C4F" w:rsidRDefault="00856EAD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B5AFC49" w14:textId="6AF7736B" w:rsidR="00856EAD" w:rsidRPr="00A65C4F" w:rsidRDefault="00856EAD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C8D438E" w14:textId="77777777" w:rsidR="00856EAD" w:rsidRPr="00A65C4F" w:rsidRDefault="00856EAD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4265598E" w14:textId="2BDF6763" w:rsidR="00856EAD" w:rsidRPr="00A65C4F" w:rsidRDefault="00856EAD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529748D" w14:textId="7855FC97" w:rsidR="00856EAD" w:rsidRPr="00A65C4F" w:rsidRDefault="00856EAD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8931F2" w:rsidRPr="00A65C4F" w14:paraId="026C02DD" w14:textId="77777777" w:rsidTr="005962E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vAlign w:val="center"/>
                </w:tcPr>
                <w:p w14:paraId="7743AA30" w14:textId="02F1F014" w:rsidR="00856EAD" w:rsidRPr="00A65C4F" w:rsidRDefault="00856EAD" w:rsidP="00856EA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79E4DEA8" w14:textId="1C745610" w:rsidR="00856EAD" w:rsidRPr="00A65C4F" w:rsidRDefault="00963429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</w:tcPr>
                <w:p w14:paraId="5C3ED089" w14:textId="3D86E062" w:rsidR="00856EAD" w:rsidRPr="00A65C4F" w:rsidRDefault="00963429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70D2FB32" w14:textId="77777777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68FBAECA" w14:textId="2E58869D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A6D5E84" w14:textId="6D4EF0D8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0CFAD57" w14:textId="77777777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6A39D611" w14:textId="425AAD80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7D646EE" w14:textId="62522295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70BC1331" w14:textId="43BBB1CC" w:rsidR="00F81DD9" w:rsidRPr="00A65C4F" w:rsidRDefault="00F81DD9" w:rsidP="00284A41">
            <w:pPr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  <w:gridSpan w:val="2"/>
          </w:tcPr>
          <w:tbl>
            <w:tblPr>
              <w:tblStyle w:val="GridTable2-Accent1"/>
              <w:tblpPr w:leftFromText="180" w:rightFromText="180" w:vertAnchor="text" w:horzAnchor="margin" w:tblpY="218"/>
              <w:tblOverlap w:val="never"/>
              <w:tblW w:w="5686" w:type="dxa"/>
              <w:tblLook w:val="04A0" w:firstRow="1" w:lastRow="0" w:firstColumn="1" w:lastColumn="0" w:noHBand="0" w:noVBand="1"/>
            </w:tblPr>
            <w:tblGrid>
              <w:gridCol w:w="479"/>
              <w:gridCol w:w="785"/>
              <w:gridCol w:w="701"/>
              <w:gridCol w:w="471"/>
              <w:gridCol w:w="789"/>
              <w:gridCol w:w="705"/>
              <w:gridCol w:w="421"/>
              <w:gridCol w:w="705"/>
              <w:gridCol w:w="630"/>
            </w:tblGrid>
            <w:tr w:rsidR="00856EAD" w:rsidRPr="00A65C4F" w14:paraId="3EF151F7" w14:textId="77777777" w:rsidTr="005962E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gridSpan w:val="9"/>
                  <w:vAlign w:val="center"/>
                </w:tcPr>
                <w:p w14:paraId="0AD5963D" w14:textId="5E6A981E" w:rsidR="00856EAD" w:rsidRPr="00A65C4F" w:rsidRDefault="00856EAD" w:rsidP="000F24F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Writing</w:t>
                  </w:r>
                </w:p>
              </w:tc>
            </w:tr>
            <w:tr w:rsidR="00856EAD" w:rsidRPr="00A65C4F" w14:paraId="25E694B1" w14:textId="77777777" w:rsidTr="005962E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4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gridSpan w:val="3"/>
                  <w:vMerge w:val="restart"/>
                  <w:vAlign w:val="center"/>
                </w:tcPr>
                <w:p w14:paraId="4AE24639" w14:textId="4583492C" w:rsidR="00856EAD" w:rsidRPr="00A65C4F" w:rsidRDefault="00856EAD" w:rsidP="00856EA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Term 3 20</w:t>
                  </w:r>
                  <w:r w:rsidR="008931F2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19/</w:t>
                  </w:r>
                  <w:r w:rsidRPr="00A65C4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20 Data</w:t>
                  </w:r>
                </w:p>
              </w:tc>
              <w:tc>
                <w:tcPr>
                  <w:tcW w:w="0" w:type="auto"/>
                  <w:gridSpan w:val="3"/>
                  <w:vAlign w:val="center"/>
                </w:tcPr>
                <w:p w14:paraId="65ACDC36" w14:textId="344706A4" w:rsidR="00856EAD" w:rsidRPr="00A65C4F" w:rsidRDefault="00E05A6B" w:rsidP="000F24F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Term 2</w:t>
                  </w:r>
                  <w:r w:rsidR="00856EAD" w:rsidRPr="00A65C4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 xml:space="preserve"> 2020</w:t>
                  </w:r>
                  <w:r w:rsidR="008931F2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/21</w:t>
                  </w:r>
                  <w:r w:rsidR="00856EAD" w:rsidRPr="00A65C4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 xml:space="preserve"> Data</w:t>
                  </w:r>
                </w:p>
              </w:tc>
              <w:tc>
                <w:tcPr>
                  <w:tcW w:w="0" w:type="auto"/>
                  <w:gridSpan w:val="3"/>
                  <w:vAlign w:val="center"/>
                </w:tcPr>
                <w:p w14:paraId="3388E5D9" w14:textId="77777777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July 2021 Target</w:t>
                  </w:r>
                </w:p>
              </w:tc>
            </w:tr>
            <w:tr w:rsidR="00856EAD" w:rsidRPr="00A65C4F" w14:paraId="62A6CDF1" w14:textId="77777777" w:rsidTr="005962EF">
              <w:trPr>
                <w:trHeight w:val="24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gridSpan w:val="3"/>
                  <w:vMerge/>
                  <w:vAlign w:val="center"/>
                </w:tcPr>
                <w:p w14:paraId="19E3227E" w14:textId="77777777" w:rsidR="00856EAD" w:rsidRPr="00A65C4F" w:rsidRDefault="00856EAD" w:rsidP="00856EA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9AF0D99" w14:textId="77777777" w:rsidR="00856EAD" w:rsidRPr="00A65C4F" w:rsidRDefault="00856EAD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proofErr w:type="spellStart"/>
                  <w:r w:rsidRPr="00A65C4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Yr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14:paraId="0BA9678C" w14:textId="77777777" w:rsidR="00856EAD" w:rsidRPr="00A65C4F" w:rsidRDefault="00856EAD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EXS+</w:t>
                  </w:r>
                </w:p>
              </w:tc>
              <w:tc>
                <w:tcPr>
                  <w:tcW w:w="0" w:type="auto"/>
                  <w:vAlign w:val="center"/>
                </w:tcPr>
                <w:p w14:paraId="7CF62BD7" w14:textId="77777777" w:rsidR="00856EAD" w:rsidRPr="00A65C4F" w:rsidRDefault="00856EAD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GDS</w:t>
                  </w:r>
                </w:p>
              </w:tc>
              <w:tc>
                <w:tcPr>
                  <w:tcW w:w="0" w:type="auto"/>
                  <w:vAlign w:val="center"/>
                </w:tcPr>
                <w:p w14:paraId="0AFCC9F9" w14:textId="77777777" w:rsidR="00856EAD" w:rsidRPr="00A65C4F" w:rsidRDefault="00856EAD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proofErr w:type="spellStart"/>
                  <w:r w:rsidRPr="00A65C4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Yr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14:paraId="1EDD1A78" w14:textId="1B324D58" w:rsidR="00856EAD" w:rsidRPr="00A65C4F" w:rsidRDefault="00856EAD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EXS+</w:t>
                  </w:r>
                </w:p>
              </w:tc>
              <w:tc>
                <w:tcPr>
                  <w:tcW w:w="0" w:type="auto"/>
                  <w:vAlign w:val="center"/>
                </w:tcPr>
                <w:p w14:paraId="234D2C3C" w14:textId="77777777" w:rsidR="00856EAD" w:rsidRPr="00A65C4F" w:rsidRDefault="00856EAD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GDS</w:t>
                  </w:r>
                </w:p>
              </w:tc>
            </w:tr>
            <w:tr w:rsidR="008931F2" w:rsidRPr="00A65C4F" w14:paraId="3BC9B56E" w14:textId="77777777" w:rsidTr="005962E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5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vAlign w:val="center"/>
                </w:tcPr>
                <w:p w14:paraId="34376FB7" w14:textId="77777777" w:rsidR="00856EAD" w:rsidRPr="00A65C4F" w:rsidRDefault="00856EAD" w:rsidP="00856EA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proofErr w:type="spellStart"/>
                  <w:r w:rsidRPr="00A65C4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Yr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14:paraId="4DC59F2A" w14:textId="3332E0D7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EXS+</w:t>
                  </w:r>
                </w:p>
              </w:tc>
              <w:tc>
                <w:tcPr>
                  <w:tcW w:w="0" w:type="auto"/>
                  <w:vAlign w:val="center"/>
                </w:tcPr>
                <w:p w14:paraId="3177E660" w14:textId="3CD40AFC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GDS</w:t>
                  </w:r>
                </w:p>
              </w:tc>
              <w:tc>
                <w:tcPr>
                  <w:tcW w:w="0" w:type="auto"/>
                  <w:vAlign w:val="center"/>
                </w:tcPr>
                <w:p w14:paraId="5FCDBBBA" w14:textId="77777777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</w:tcPr>
                <w:p w14:paraId="72A7BA04" w14:textId="3700BEFF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798176D" w14:textId="74F6E8B9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</w:tcPr>
                <w:p w14:paraId="10C780B3" w14:textId="3B5EDAA7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</w:tcPr>
                <w:p w14:paraId="50A10D2C" w14:textId="5E99B91B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</w:tcPr>
                <w:p w14:paraId="4D832906" w14:textId="11B759B8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-</w:t>
                  </w:r>
                </w:p>
              </w:tc>
            </w:tr>
            <w:tr w:rsidR="00856EAD" w:rsidRPr="00A65C4F" w14:paraId="60E0E8D8" w14:textId="77777777" w:rsidTr="005962EF">
              <w:trPr>
                <w:trHeight w:val="4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vAlign w:val="center"/>
                </w:tcPr>
                <w:p w14:paraId="4442062A" w14:textId="77777777" w:rsidR="00856EAD" w:rsidRPr="00A65C4F" w:rsidRDefault="00856EAD" w:rsidP="00856EA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</w:tcPr>
                <w:p w14:paraId="33F364DB" w14:textId="21648079" w:rsidR="00856EAD" w:rsidRPr="00A65C4F" w:rsidRDefault="00A57976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69</w:t>
                  </w:r>
                </w:p>
              </w:tc>
              <w:tc>
                <w:tcPr>
                  <w:tcW w:w="0" w:type="auto"/>
                  <w:vAlign w:val="center"/>
                </w:tcPr>
                <w:p w14:paraId="1B70F91B" w14:textId="77777777" w:rsidR="00856EAD" w:rsidRPr="00A65C4F" w:rsidRDefault="00856EAD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</w:tcPr>
                <w:p w14:paraId="58114897" w14:textId="77777777" w:rsidR="00856EAD" w:rsidRPr="00A65C4F" w:rsidRDefault="00856EAD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2A1AA325" w14:textId="3D4720A4" w:rsidR="00856EAD" w:rsidRPr="00A65C4F" w:rsidRDefault="00856EAD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AF1978F" w14:textId="26F21980" w:rsidR="00856EAD" w:rsidRPr="00A65C4F" w:rsidRDefault="00856EAD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1502FFB" w14:textId="7381ACB6" w:rsidR="00856EAD" w:rsidRPr="00A65C4F" w:rsidRDefault="00856EAD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7C4D5A4A" w14:textId="6C8194AE" w:rsidR="00856EAD" w:rsidRPr="00A65C4F" w:rsidRDefault="00856EAD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E8DCC3C" w14:textId="59064D9C" w:rsidR="00856EAD" w:rsidRPr="00A65C4F" w:rsidRDefault="00856EAD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8931F2" w:rsidRPr="00A65C4F" w14:paraId="7F879CFB" w14:textId="77777777" w:rsidTr="005962E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vAlign w:val="center"/>
                </w:tcPr>
                <w:p w14:paraId="2F519883" w14:textId="77777777" w:rsidR="00856EAD" w:rsidRPr="00A65C4F" w:rsidRDefault="00856EAD" w:rsidP="00856EA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68549E99" w14:textId="748DC707" w:rsidR="00856EAD" w:rsidRPr="00A65C4F" w:rsidRDefault="00A57976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</w:tcPr>
                <w:p w14:paraId="11553897" w14:textId="249DAC1B" w:rsidR="00856EAD" w:rsidRPr="00A65C4F" w:rsidRDefault="00A57976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14:paraId="0D68A6A4" w14:textId="77777777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02CD9462" w14:textId="0FCFD3E9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C22CEC" w14:textId="5C4C61F8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B4231DA" w14:textId="77777777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657F5A0D" w14:textId="3471A58B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1AE8740" w14:textId="3A33494C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856EAD" w:rsidRPr="00A65C4F" w14:paraId="36118CC4" w14:textId="77777777" w:rsidTr="005962EF">
              <w:trPr>
                <w:trHeight w:val="26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vAlign w:val="center"/>
                </w:tcPr>
                <w:p w14:paraId="109E3742" w14:textId="77777777" w:rsidR="00856EAD" w:rsidRPr="00A65C4F" w:rsidRDefault="00856EAD" w:rsidP="00856EA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20BA8C03" w14:textId="29C174BE" w:rsidR="00856EAD" w:rsidRPr="00A65C4F" w:rsidRDefault="00A57976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2F9A08F0" w14:textId="4FE05A61" w:rsidR="00856EAD" w:rsidRPr="00A65C4F" w:rsidRDefault="00A57976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14:paraId="43559B5B" w14:textId="77777777" w:rsidR="00856EAD" w:rsidRPr="00A65C4F" w:rsidRDefault="00856EAD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4635C66E" w14:textId="7B4E0A31" w:rsidR="00856EAD" w:rsidRPr="00A65C4F" w:rsidRDefault="00856EAD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80A31AC" w14:textId="4B12AA57" w:rsidR="00856EAD" w:rsidRPr="00A65C4F" w:rsidRDefault="00856EAD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A204071" w14:textId="3CD2A156" w:rsidR="00856EAD" w:rsidRPr="00A65C4F" w:rsidRDefault="00856EAD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2255084B" w14:textId="7DE9E69B" w:rsidR="00856EAD" w:rsidRPr="00A65C4F" w:rsidRDefault="00856EAD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32BE589" w14:textId="2FED27D3" w:rsidR="00856EAD" w:rsidRPr="00A65C4F" w:rsidRDefault="00856EAD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8931F2" w:rsidRPr="00A65C4F" w14:paraId="56FD6257" w14:textId="77777777" w:rsidTr="005962E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vAlign w:val="center"/>
                </w:tcPr>
                <w:p w14:paraId="5A52066E" w14:textId="77777777" w:rsidR="00856EAD" w:rsidRPr="00A65C4F" w:rsidRDefault="00856EAD" w:rsidP="00856EA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17CD91E4" w14:textId="4255146C" w:rsidR="00856EAD" w:rsidRPr="00A65C4F" w:rsidRDefault="00A57976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47</w:t>
                  </w:r>
                </w:p>
              </w:tc>
              <w:tc>
                <w:tcPr>
                  <w:tcW w:w="0" w:type="auto"/>
                  <w:vAlign w:val="center"/>
                </w:tcPr>
                <w:p w14:paraId="446288D5" w14:textId="6CF81B85" w:rsidR="00856EAD" w:rsidRPr="00A65C4F" w:rsidRDefault="00A57976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13282547" w14:textId="77777777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062ADCBA" w14:textId="1FA6C878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5628D6F" w14:textId="750DE3F1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0D8A834" w14:textId="77777777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32B9944E" w14:textId="5CB5AB83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47B3DC5" w14:textId="129A0CED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856EAD" w:rsidRPr="00A65C4F" w14:paraId="79386D75" w14:textId="77777777" w:rsidTr="005962EF">
              <w:trPr>
                <w:trHeight w:val="26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vAlign w:val="center"/>
                </w:tcPr>
                <w:p w14:paraId="51B29126" w14:textId="3BBE0E2E" w:rsidR="00856EAD" w:rsidRPr="00A65C4F" w:rsidRDefault="00856EAD" w:rsidP="00856EA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4A774E13" w14:textId="16938BC8" w:rsidR="00856EAD" w:rsidRPr="00A65C4F" w:rsidRDefault="00A57976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14:paraId="5DFAFEA0" w14:textId="0544A6D2" w:rsidR="00856EAD" w:rsidRPr="00A65C4F" w:rsidRDefault="00A57976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01072429" w14:textId="45DFEA2E" w:rsidR="00856EAD" w:rsidRPr="00A65C4F" w:rsidRDefault="00856EAD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0A02D8D1" w14:textId="5D269230" w:rsidR="00856EAD" w:rsidRPr="00A65C4F" w:rsidRDefault="00856EAD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A448BF1" w14:textId="07327B14" w:rsidR="00856EAD" w:rsidRPr="00A65C4F" w:rsidRDefault="00856EAD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2B95C81" w14:textId="699F5220" w:rsidR="00856EAD" w:rsidRPr="00A65C4F" w:rsidRDefault="00856EAD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3C1E88AF" w14:textId="4F15E740" w:rsidR="00856EAD" w:rsidRPr="00A65C4F" w:rsidRDefault="00856EAD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A6E6C29" w14:textId="6912C08B" w:rsidR="00856EAD" w:rsidRPr="00A65C4F" w:rsidRDefault="00856EAD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8931F2" w:rsidRPr="00A65C4F" w14:paraId="0E6E34CB" w14:textId="77777777" w:rsidTr="005962E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vAlign w:val="center"/>
                </w:tcPr>
                <w:p w14:paraId="04CC186B" w14:textId="0D08FC22" w:rsidR="00856EAD" w:rsidRPr="00A65C4F" w:rsidRDefault="00856EAD" w:rsidP="00856EA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24D17E8A" w14:textId="2CD93A48" w:rsidR="00856EAD" w:rsidRPr="00A65C4F" w:rsidRDefault="00A57976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</w:tcPr>
                <w:p w14:paraId="13F03A6B" w14:textId="35C0702D" w:rsidR="00856EAD" w:rsidRPr="00A65C4F" w:rsidRDefault="00A57976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01FDDCE3" w14:textId="76E54E80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030FA4EB" w14:textId="5F98D671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A36848C" w14:textId="1E5F57CE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887A9AC" w14:textId="16FC90D1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37851441" w14:textId="0DC79CE5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766D10B" w14:textId="38FD7FD9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7A3931E3" w14:textId="4EF3EF54" w:rsidR="00F81DD9" w:rsidRPr="00A65C4F" w:rsidRDefault="00F81DD9" w:rsidP="00284A41">
            <w:pPr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GB"/>
              </w:rPr>
            </w:pPr>
          </w:p>
        </w:tc>
        <w:tc>
          <w:tcPr>
            <w:tcW w:w="0" w:type="auto"/>
          </w:tcPr>
          <w:tbl>
            <w:tblPr>
              <w:tblStyle w:val="GridTable2-Accent1"/>
              <w:tblpPr w:leftFromText="180" w:rightFromText="180" w:vertAnchor="text" w:horzAnchor="margin" w:tblpY="130"/>
              <w:tblOverlap w:val="never"/>
              <w:tblW w:w="5804" w:type="dxa"/>
              <w:tblLook w:val="04A0" w:firstRow="1" w:lastRow="0" w:firstColumn="1" w:lastColumn="0" w:noHBand="0" w:noVBand="1"/>
            </w:tblPr>
            <w:tblGrid>
              <w:gridCol w:w="489"/>
              <w:gridCol w:w="801"/>
              <w:gridCol w:w="715"/>
              <w:gridCol w:w="481"/>
              <w:gridCol w:w="805"/>
              <w:gridCol w:w="720"/>
              <w:gridCol w:w="430"/>
              <w:gridCol w:w="720"/>
              <w:gridCol w:w="643"/>
            </w:tblGrid>
            <w:tr w:rsidR="00856EAD" w:rsidRPr="00A65C4F" w14:paraId="0BDD2881" w14:textId="77777777" w:rsidTr="005962E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3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gridSpan w:val="9"/>
                  <w:vAlign w:val="center"/>
                </w:tcPr>
                <w:p w14:paraId="27CD5907" w14:textId="31D78534" w:rsidR="00856EAD" w:rsidRPr="00A65C4F" w:rsidRDefault="00856EAD" w:rsidP="00856EA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Maths</w:t>
                  </w:r>
                </w:p>
              </w:tc>
            </w:tr>
            <w:tr w:rsidR="00856EAD" w:rsidRPr="00A65C4F" w14:paraId="19C236B9" w14:textId="77777777" w:rsidTr="005962E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gridSpan w:val="3"/>
                  <w:vMerge w:val="restart"/>
                  <w:vAlign w:val="center"/>
                </w:tcPr>
                <w:p w14:paraId="3E6790DD" w14:textId="2E530D27" w:rsidR="00856EAD" w:rsidRPr="00A65C4F" w:rsidRDefault="00856EAD" w:rsidP="00856EA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Term 3 20</w:t>
                  </w:r>
                  <w:r w:rsidR="008931F2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19/</w:t>
                  </w:r>
                  <w:r w:rsidRPr="00A65C4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20 Data</w:t>
                  </w:r>
                </w:p>
              </w:tc>
              <w:tc>
                <w:tcPr>
                  <w:tcW w:w="0" w:type="auto"/>
                  <w:gridSpan w:val="3"/>
                  <w:vAlign w:val="center"/>
                </w:tcPr>
                <w:p w14:paraId="262D4A60" w14:textId="582912DB" w:rsidR="00856EAD" w:rsidRPr="00A65C4F" w:rsidRDefault="00E05A6B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Term 2</w:t>
                  </w:r>
                  <w:r w:rsidR="00856EAD" w:rsidRPr="00A65C4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 xml:space="preserve"> 2020</w:t>
                  </w:r>
                  <w:r w:rsidR="008931F2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/21</w:t>
                  </w:r>
                  <w:r w:rsidR="00856EAD" w:rsidRPr="00A65C4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 xml:space="preserve"> Data</w:t>
                  </w:r>
                </w:p>
              </w:tc>
              <w:tc>
                <w:tcPr>
                  <w:tcW w:w="0" w:type="auto"/>
                  <w:gridSpan w:val="3"/>
                  <w:vAlign w:val="center"/>
                </w:tcPr>
                <w:p w14:paraId="328B016B" w14:textId="77777777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July 2021 Target</w:t>
                  </w:r>
                </w:p>
              </w:tc>
            </w:tr>
            <w:tr w:rsidR="00856EAD" w:rsidRPr="00A65C4F" w14:paraId="4BB38E17" w14:textId="77777777" w:rsidTr="005962EF">
              <w:trPr>
                <w:trHeight w:val="25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gridSpan w:val="3"/>
                  <w:vMerge/>
                  <w:vAlign w:val="center"/>
                </w:tcPr>
                <w:p w14:paraId="4ABA0A4F" w14:textId="77777777" w:rsidR="00856EAD" w:rsidRPr="00A65C4F" w:rsidRDefault="00856EAD" w:rsidP="00856EA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E2A4DE4" w14:textId="77777777" w:rsidR="00856EAD" w:rsidRPr="00A65C4F" w:rsidRDefault="00856EAD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proofErr w:type="spellStart"/>
                  <w:r w:rsidRPr="00A65C4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Yr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14:paraId="17FB11D3" w14:textId="7DFB378B" w:rsidR="00856EAD" w:rsidRPr="00A65C4F" w:rsidRDefault="00856EAD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EXS+</w:t>
                  </w:r>
                </w:p>
              </w:tc>
              <w:tc>
                <w:tcPr>
                  <w:tcW w:w="0" w:type="auto"/>
                  <w:vAlign w:val="center"/>
                </w:tcPr>
                <w:p w14:paraId="15E79802" w14:textId="77777777" w:rsidR="00856EAD" w:rsidRPr="00A65C4F" w:rsidRDefault="00856EAD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GDS</w:t>
                  </w:r>
                </w:p>
              </w:tc>
              <w:tc>
                <w:tcPr>
                  <w:tcW w:w="0" w:type="auto"/>
                  <w:vAlign w:val="center"/>
                </w:tcPr>
                <w:p w14:paraId="70BF3BB9" w14:textId="77777777" w:rsidR="00856EAD" w:rsidRPr="00A65C4F" w:rsidRDefault="00856EAD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proofErr w:type="spellStart"/>
                  <w:r w:rsidRPr="00A65C4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Yr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14:paraId="73630E7B" w14:textId="77777777" w:rsidR="00856EAD" w:rsidRPr="00A65C4F" w:rsidRDefault="00856EAD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EXS+</w:t>
                  </w:r>
                </w:p>
              </w:tc>
              <w:tc>
                <w:tcPr>
                  <w:tcW w:w="0" w:type="auto"/>
                  <w:vAlign w:val="center"/>
                </w:tcPr>
                <w:p w14:paraId="3A2F82A4" w14:textId="77777777" w:rsidR="00856EAD" w:rsidRPr="00A65C4F" w:rsidRDefault="00856EAD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GDS</w:t>
                  </w:r>
                </w:p>
              </w:tc>
            </w:tr>
            <w:tr w:rsidR="008931F2" w:rsidRPr="00A65C4F" w14:paraId="13FA02A6" w14:textId="77777777" w:rsidTr="005962E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vAlign w:val="center"/>
                </w:tcPr>
                <w:p w14:paraId="425EF141" w14:textId="77777777" w:rsidR="00856EAD" w:rsidRPr="00A65C4F" w:rsidRDefault="00856EAD" w:rsidP="00856EA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proofErr w:type="spellStart"/>
                  <w:r w:rsidRPr="00A65C4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Yr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14:paraId="4F5A2FD7" w14:textId="739ECEC0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EXS+</w:t>
                  </w:r>
                </w:p>
              </w:tc>
              <w:tc>
                <w:tcPr>
                  <w:tcW w:w="0" w:type="auto"/>
                  <w:vAlign w:val="center"/>
                </w:tcPr>
                <w:p w14:paraId="51EA3427" w14:textId="03FA5A11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GDS</w:t>
                  </w:r>
                </w:p>
              </w:tc>
              <w:tc>
                <w:tcPr>
                  <w:tcW w:w="0" w:type="auto"/>
                  <w:vAlign w:val="center"/>
                </w:tcPr>
                <w:p w14:paraId="20DFAF56" w14:textId="77777777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</w:tcPr>
                <w:p w14:paraId="405630B0" w14:textId="0225D3F5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5969D7D" w14:textId="77777777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</w:tcPr>
                <w:p w14:paraId="3E249E2D" w14:textId="77777777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</w:tcPr>
                <w:p w14:paraId="1DD4EF0E" w14:textId="77777777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</w:tcPr>
                <w:p w14:paraId="0CE3A33D" w14:textId="77777777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-</w:t>
                  </w:r>
                </w:p>
              </w:tc>
            </w:tr>
            <w:tr w:rsidR="00856EAD" w:rsidRPr="00A65C4F" w14:paraId="29490D11" w14:textId="77777777" w:rsidTr="005962EF">
              <w:trPr>
                <w:trHeight w:val="42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vAlign w:val="center"/>
                </w:tcPr>
                <w:p w14:paraId="79446993" w14:textId="0628CADC" w:rsidR="00856EAD" w:rsidRPr="00A65C4F" w:rsidRDefault="00856EAD" w:rsidP="00856EA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R</w:t>
                  </w:r>
                </w:p>
              </w:tc>
              <w:tc>
                <w:tcPr>
                  <w:tcW w:w="0" w:type="auto"/>
                  <w:vAlign w:val="center"/>
                </w:tcPr>
                <w:p w14:paraId="50933359" w14:textId="2DE0E9C3" w:rsidR="00856EAD" w:rsidRPr="00A65C4F" w:rsidRDefault="00A57976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</w:tcPr>
                <w:p w14:paraId="3A25BC6B" w14:textId="77777777" w:rsidR="00856EAD" w:rsidRPr="00A65C4F" w:rsidRDefault="00856EAD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</w:tcPr>
                <w:p w14:paraId="54BA1B9A" w14:textId="77777777" w:rsidR="00856EAD" w:rsidRPr="00A65C4F" w:rsidRDefault="00856EAD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02C1CEC5" w14:textId="146ADE7E" w:rsidR="00856EAD" w:rsidRPr="00A65C4F" w:rsidRDefault="00856EAD" w:rsidP="0096342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0261DA7" w14:textId="5BB7CAC3" w:rsidR="00856EAD" w:rsidRPr="00A65C4F" w:rsidRDefault="00856EAD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14C7174" w14:textId="77777777" w:rsidR="00856EAD" w:rsidRPr="00A65C4F" w:rsidRDefault="00856EAD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5CA93B31" w14:textId="47CBE091" w:rsidR="00856EAD" w:rsidRPr="00A65C4F" w:rsidRDefault="00856EAD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350AEA6" w14:textId="3A223709" w:rsidR="00856EAD" w:rsidRPr="00A65C4F" w:rsidRDefault="00856EAD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8931F2" w:rsidRPr="00A65C4F" w14:paraId="76FA8A1F" w14:textId="77777777" w:rsidTr="005962E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vAlign w:val="center"/>
                </w:tcPr>
                <w:p w14:paraId="72871B31" w14:textId="5D4456E7" w:rsidR="00856EAD" w:rsidRPr="00A65C4F" w:rsidRDefault="00856EAD" w:rsidP="00856EA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14:paraId="442B14B8" w14:textId="1D89E47C" w:rsidR="00856EAD" w:rsidRPr="00A65C4F" w:rsidRDefault="00A57976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49</w:t>
                  </w:r>
                </w:p>
              </w:tc>
              <w:tc>
                <w:tcPr>
                  <w:tcW w:w="0" w:type="auto"/>
                  <w:vAlign w:val="center"/>
                </w:tcPr>
                <w:p w14:paraId="43C6C2AA" w14:textId="48B2B03A" w:rsidR="00856EAD" w:rsidRPr="00A65C4F" w:rsidRDefault="00A57976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14:paraId="3B26DC35" w14:textId="77777777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5CDABF09" w14:textId="7642704A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EDF97AE" w14:textId="76AD64E8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2CADF20" w14:textId="77777777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6BDEC48F" w14:textId="3292CCDC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C279E8E" w14:textId="79BEFBB6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856EAD" w:rsidRPr="00A65C4F" w14:paraId="712E5773" w14:textId="77777777" w:rsidTr="005962EF">
              <w:trPr>
                <w:trHeight w:val="2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vAlign w:val="center"/>
                </w:tcPr>
                <w:p w14:paraId="0491AD9E" w14:textId="77777777" w:rsidR="00856EAD" w:rsidRPr="00A65C4F" w:rsidRDefault="00856EAD" w:rsidP="00856EA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14:paraId="63BE3EAB" w14:textId="3702189E" w:rsidR="00856EAD" w:rsidRPr="00A65C4F" w:rsidRDefault="00A57976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</w:tcPr>
                <w:p w14:paraId="14770FC6" w14:textId="0A1F7ECF" w:rsidR="00856EAD" w:rsidRPr="00A65C4F" w:rsidRDefault="00A57976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14:paraId="36A4D6C1" w14:textId="77777777" w:rsidR="00856EAD" w:rsidRPr="00A65C4F" w:rsidRDefault="00856EAD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6CCF69F3" w14:textId="5FBFFCB3" w:rsidR="00856EAD" w:rsidRPr="00A65C4F" w:rsidRDefault="00856EAD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C208630" w14:textId="12533F39" w:rsidR="00856EAD" w:rsidRPr="00A65C4F" w:rsidRDefault="00856EAD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6C8C378" w14:textId="77777777" w:rsidR="00856EAD" w:rsidRPr="00A65C4F" w:rsidRDefault="00856EAD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4EFF98F3" w14:textId="0EEAD616" w:rsidR="00856EAD" w:rsidRPr="00A65C4F" w:rsidRDefault="00856EAD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E9B919F" w14:textId="2C577A54" w:rsidR="00856EAD" w:rsidRPr="00A65C4F" w:rsidRDefault="00856EAD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8931F2" w:rsidRPr="00A65C4F" w14:paraId="351FD855" w14:textId="77777777" w:rsidTr="005962E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vAlign w:val="center"/>
                </w:tcPr>
                <w:p w14:paraId="19DDDD0D" w14:textId="77777777" w:rsidR="00856EAD" w:rsidRPr="00A65C4F" w:rsidRDefault="00856EAD" w:rsidP="00856EA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14:paraId="6F760261" w14:textId="0585D292" w:rsidR="00856EAD" w:rsidRPr="00A65C4F" w:rsidRDefault="00A57976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</w:tcPr>
                <w:p w14:paraId="1D462818" w14:textId="75508797" w:rsidR="00856EAD" w:rsidRPr="00A65C4F" w:rsidRDefault="00A57976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14:paraId="277CE714" w14:textId="309B3831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7DB9B33E" w14:textId="2877068E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81E4E94" w14:textId="795665C0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DB963C0" w14:textId="77777777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6C348A60" w14:textId="78EA8F99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6AD659C" w14:textId="53A70664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856EAD" w:rsidRPr="00A65C4F" w14:paraId="2C49F517" w14:textId="77777777" w:rsidTr="005962EF">
              <w:trPr>
                <w:trHeight w:val="2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vAlign w:val="center"/>
                </w:tcPr>
                <w:p w14:paraId="21BAF35F" w14:textId="77777777" w:rsidR="00856EAD" w:rsidRPr="00A65C4F" w:rsidRDefault="00856EAD" w:rsidP="00856EA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14:paraId="1C1749B9" w14:textId="6ADDC770" w:rsidR="00856EAD" w:rsidRPr="00A65C4F" w:rsidRDefault="00A57976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14:paraId="4473F940" w14:textId="2D6E9522" w:rsidR="00856EAD" w:rsidRPr="00A65C4F" w:rsidRDefault="00A57976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14:paraId="302DEB2F" w14:textId="465C6AF0" w:rsidR="00856EAD" w:rsidRPr="00A65C4F" w:rsidRDefault="00856EAD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6CA4493B" w14:textId="0D03E85C" w:rsidR="00856EAD" w:rsidRPr="00A65C4F" w:rsidRDefault="00856EAD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59A507F" w14:textId="697E838C" w:rsidR="00856EAD" w:rsidRPr="00A65C4F" w:rsidRDefault="00856EAD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C0EFFEA" w14:textId="77777777" w:rsidR="00856EAD" w:rsidRPr="00A65C4F" w:rsidRDefault="00856EAD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267C7D84" w14:textId="10A10825" w:rsidR="00856EAD" w:rsidRPr="00A65C4F" w:rsidRDefault="00856EAD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0E7EBB3" w14:textId="282E2DD6" w:rsidR="00856EAD" w:rsidRPr="00A65C4F" w:rsidRDefault="00856EAD" w:rsidP="00856EA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8931F2" w:rsidRPr="00A65C4F" w14:paraId="0E5DDFC4" w14:textId="77777777" w:rsidTr="005962E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vAlign w:val="center"/>
                </w:tcPr>
                <w:p w14:paraId="2C4C3CA3" w14:textId="483C3A8B" w:rsidR="00856EAD" w:rsidRPr="00A65C4F" w:rsidRDefault="00856EAD" w:rsidP="00856EA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14:paraId="03BF056C" w14:textId="7D2D2A0A" w:rsidR="00856EAD" w:rsidRPr="00A65C4F" w:rsidRDefault="00A57976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</w:tcPr>
                <w:p w14:paraId="523FA94B" w14:textId="065BF4C6" w:rsidR="00856EAD" w:rsidRPr="00A65C4F" w:rsidRDefault="00A57976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14:paraId="6F4E90C3" w14:textId="77777777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341485F9" w14:textId="5567B364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2646220" w14:textId="72AA0534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0150FBC" w14:textId="77777777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A65C4F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14:paraId="33097C49" w14:textId="06633F9C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DF1BFF5" w14:textId="692CC4C3" w:rsidR="00856EAD" w:rsidRPr="00A65C4F" w:rsidRDefault="00856EAD" w:rsidP="00856EAD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14:paraId="72BE4090" w14:textId="5F266DDB" w:rsidR="00F81DD9" w:rsidRPr="00A65C4F" w:rsidRDefault="00F81DD9" w:rsidP="00284A41">
            <w:pPr>
              <w:rPr>
                <w:rFonts w:ascii="Arial" w:hAnsi="Arial" w:cs="Arial"/>
                <w:i/>
                <w:iCs/>
                <w:color w:val="0070C0"/>
                <w:sz w:val="22"/>
                <w:szCs w:val="22"/>
                <w:lang w:val="en-GB"/>
              </w:rPr>
            </w:pPr>
          </w:p>
        </w:tc>
      </w:tr>
      <w:tr w:rsidR="00391C5B" w:rsidRPr="00A51C26" w14:paraId="20E7FB7E" w14:textId="77777777" w:rsidTr="000A4F09">
        <w:tc>
          <w:tcPr>
            <w:tcW w:w="0" w:type="auto"/>
            <w:gridSpan w:val="5"/>
            <w:tcMar>
              <w:top w:w="57" w:type="dxa"/>
              <w:bottom w:w="57" w:type="dxa"/>
            </w:tcMar>
          </w:tcPr>
          <w:p w14:paraId="3541C6B3" w14:textId="0C2A552C" w:rsidR="00391C5B" w:rsidRPr="00EA6BEC" w:rsidRDefault="00391C5B" w:rsidP="00FF2765">
            <w:pPr>
              <w:spacing w:before="0" w:after="120" w:line="240" w:lineRule="auto"/>
              <w:rPr>
                <w:rFonts w:ascii="Arial" w:hAnsi="Arial" w:cs="Arial"/>
                <w:i/>
                <w:iCs/>
                <w:color w:val="0070C0"/>
                <w:lang w:val="en-GB"/>
              </w:rPr>
            </w:pPr>
            <w:r w:rsidRPr="00EA6BEC">
              <w:rPr>
                <w:rFonts w:ascii="Arial" w:hAnsi="Arial" w:cs="Arial"/>
                <w:i/>
                <w:iCs/>
                <w:color w:val="0070C0"/>
                <w:lang w:val="en-GB"/>
              </w:rPr>
              <w:t xml:space="preserve">A small number of priorities that can </w:t>
            </w:r>
            <w:r w:rsidRPr="00EA6BEC">
              <w:rPr>
                <w:rFonts w:ascii="Arial" w:hAnsi="Arial" w:cs="Arial"/>
                <w:i/>
                <w:iCs/>
                <w:color w:val="0070C0"/>
                <w:u w:val="single"/>
                <w:lang w:val="en-GB"/>
              </w:rPr>
              <w:t>realistically</w:t>
            </w:r>
            <w:r w:rsidRPr="00EA6BEC">
              <w:rPr>
                <w:rFonts w:ascii="Arial" w:hAnsi="Arial" w:cs="Arial"/>
                <w:i/>
                <w:iCs/>
                <w:color w:val="0070C0"/>
                <w:lang w:val="en-GB"/>
              </w:rPr>
              <w:t xml:space="preserve"> be addressed</w:t>
            </w:r>
            <w:r w:rsidR="008931F2" w:rsidRPr="00EA6BEC">
              <w:rPr>
                <w:rFonts w:ascii="Arial" w:hAnsi="Arial" w:cs="Arial"/>
                <w:i/>
                <w:iCs/>
                <w:color w:val="0070C0"/>
                <w:lang w:val="en-GB"/>
              </w:rPr>
              <w:t>:</w:t>
            </w:r>
            <w:r w:rsidR="0033395F" w:rsidRPr="00EA6BEC">
              <w:rPr>
                <w:rFonts w:ascii="Arial" w:hAnsi="Arial" w:cs="Arial"/>
                <w:b/>
                <w:bCs/>
                <w:noProof/>
                <w:color w:val="0070C0"/>
                <w:sz w:val="28"/>
                <w:szCs w:val="28"/>
              </w:rPr>
              <w:t xml:space="preserve"> </w:t>
            </w:r>
          </w:p>
          <w:p w14:paraId="37708DC1" w14:textId="00AE3576" w:rsidR="00391C5B" w:rsidRPr="00A51C26" w:rsidRDefault="00391C5B" w:rsidP="00A51C26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ind w:left="714" w:hanging="35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1C26">
              <w:rPr>
                <w:rFonts w:ascii="Arial" w:hAnsi="Arial" w:cs="Arial"/>
                <w:color w:val="000000" w:themeColor="text1"/>
                <w:sz w:val="24"/>
                <w:szCs w:val="24"/>
              </w:rPr>
              <w:t>Writing attainment</w:t>
            </w:r>
            <w:r w:rsidR="009D10F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is lower and the children have lost stamina / expectation in writing</w:t>
            </w:r>
          </w:p>
          <w:p w14:paraId="67BDCBF7" w14:textId="5875F32A" w:rsidR="00391C5B" w:rsidRPr="00A51C26" w:rsidRDefault="00780252" w:rsidP="00A51C26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ind w:left="714" w:hanging="35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51C26">
              <w:rPr>
                <w:rFonts w:ascii="Arial" w:hAnsi="Arial" w:cs="Arial"/>
                <w:color w:val="000000" w:themeColor="text1"/>
                <w:sz w:val="24"/>
                <w:szCs w:val="24"/>
              </w:rPr>
              <w:t>Some</w:t>
            </w:r>
            <w:r w:rsidR="00391C5B" w:rsidRPr="00A51C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pupils</w:t>
            </w:r>
            <w:r w:rsidR="00A742A8" w:rsidRPr="00A51C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have larger gaps than their </w:t>
            </w:r>
            <w:proofErr w:type="gramStart"/>
            <w:r w:rsidR="00A742A8" w:rsidRPr="00A51C26">
              <w:rPr>
                <w:rFonts w:ascii="Arial" w:hAnsi="Arial" w:cs="Arial"/>
                <w:color w:val="000000" w:themeColor="text1"/>
                <w:sz w:val="24"/>
                <w:szCs w:val="24"/>
              </w:rPr>
              <w:t>peers</w:t>
            </w:r>
            <w:proofErr w:type="gramEnd"/>
            <w:r w:rsidR="00A742A8" w:rsidRPr="00A51C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D10F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 Maths </w:t>
            </w:r>
            <w:r w:rsidR="00A742A8" w:rsidRPr="00A51C26">
              <w:rPr>
                <w:rFonts w:ascii="Arial" w:hAnsi="Arial" w:cs="Arial"/>
                <w:color w:val="000000" w:themeColor="text1"/>
                <w:sz w:val="24"/>
                <w:szCs w:val="24"/>
              </w:rPr>
              <w:t>across the school</w:t>
            </w:r>
            <w:r w:rsidR="008931F2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73125230" w14:textId="0F14F900" w:rsidR="00391C5B" w:rsidRPr="00A51C26" w:rsidRDefault="009D10F0" w:rsidP="00FF2765">
            <w:pPr>
              <w:pStyle w:val="ListParagraph"/>
              <w:numPr>
                <w:ilvl w:val="0"/>
                <w:numId w:val="6"/>
              </w:numPr>
              <w:spacing w:before="0" w:after="0" w:line="240" w:lineRule="auto"/>
              <w:ind w:left="714" w:hanging="35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Some significant gaps are identified due to missing phonics teaching in EY and KS 1</w:t>
            </w:r>
          </w:p>
        </w:tc>
      </w:tr>
      <w:tr w:rsidR="0061337C" w:rsidRPr="0061337C" w14:paraId="77B021C7" w14:textId="77777777" w:rsidTr="000A4F09">
        <w:tc>
          <w:tcPr>
            <w:tcW w:w="0" w:type="auto"/>
            <w:gridSpan w:val="5"/>
            <w:tcMar>
              <w:top w:w="57" w:type="dxa"/>
              <w:bottom w:w="57" w:type="dxa"/>
            </w:tcMar>
          </w:tcPr>
          <w:p w14:paraId="2B42DD05" w14:textId="0706FF21" w:rsidR="00A742A8" w:rsidRPr="00EA6BEC" w:rsidRDefault="00A742A8" w:rsidP="00FF2765">
            <w:pPr>
              <w:spacing w:before="0" w:after="120" w:line="240" w:lineRule="auto"/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val="en-GB"/>
              </w:rPr>
            </w:pPr>
            <w:r w:rsidRPr="00EA6BEC">
              <w:rPr>
                <w:rFonts w:ascii="Arial" w:hAnsi="Arial" w:cs="Arial"/>
                <w:b/>
                <w:bCs/>
                <w:color w:val="0070C0"/>
                <w:sz w:val="28"/>
                <w:szCs w:val="28"/>
                <w:lang w:val="en-GB"/>
              </w:rPr>
              <w:t>Purpose of spend</w:t>
            </w:r>
          </w:p>
          <w:p w14:paraId="22537B5B" w14:textId="254F6210" w:rsidR="000A4F09" w:rsidRPr="0061337C" w:rsidRDefault="000A4F09" w:rsidP="00FF2765">
            <w:pPr>
              <w:spacing w:before="120" w:after="0" w:line="240" w:lineRule="auto"/>
              <w:rPr>
                <w:rFonts w:ascii="Arial" w:hAnsi="Arial" w:cs="Arial"/>
                <w:b/>
                <w:bCs/>
                <w:i/>
                <w:iCs/>
                <w:color w:val="7800AF"/>
                <w:sz w:val="22"/>
                <w:szCs w:val="22"/>
                <w:lang w:val="en-GB"/>
              </w:rPr>
            </w:pPr>
            <w:r w:rsidRPr="00A65C4F">
              <w:rPr>
                <w:rFonts w:ascii="Arial" w:hAnsi="Arial" w:cs="Arial"/>
                <w:color w:val="000000" w:themeColor="text1"/>
                <w:lang w:val="en-GB"/>
              </w:rPr>
              <w:t xml:space="preserve">The catch-up grant </w:t>
            </w:r>
            <w:proofErr w:type="gramStart"/>
            <w:r w:rsidRPr="00A65C4F">
              <w:rPr>
                <w:rFonts w:ascii="Arial" w:hAnsi="Arial" w:cs="Arial"/>
                <w:color w:val="000000" w:themeColor="text1"/>
                <w:lang w:val="en-GB"/>
              </w:rPr>
              <w:t>will be used</w:t>
            </w:r>
            <w:proofErr w:type="gramEnd"/>
            <w:r w:rsidRPr="00A65C4F">
              <w:rPr>
                <w:rFonts w:ascii="Arial" w:hAnsi="Arial" w:cs="Arial"/>
                <w:color w:val="000000" w:themeColor="text1"/>
                <w:lang w:val="en-GB"/>
              </w:rPr>
              <w:t xml:space="preserve"> for additional provision and training that supports us to get back on track and teaching a normal curriculum as quickly as possible</w:t>
            </w:r>
            <w:r w:rsidR="008931F2">
              <w:rPr>
                <w:rFonts w:ascii="Arial" w:hAnsi="Arial" w:cs="Arial"/>
                <w:color w:val="000000" w:themeColor="text1"/>
                <w:lang w:val="en-GB"/>
              </w:rPr>
              <w:t>.</w:t>
            </w:r>
          </w:p>
        </w:tc>
      </w:tr>
      <w:tr w:rsidR="00A742A8" w:rsidRPr="00A51C26" w14:paraId="08405B98" w14:textId="77777777" w:rsidTr="000A4F09">
        <w:tc>
          <w:tcPr>
            <w:tcW w:w="0" w:type="auto"/>
            <w:gridSpan w:val="5"/>
            <w:tcMar>
              <w:top w:w="57" w:type="dxa"/>
              <w:bottom w:w="57" w:type="dxa"/>
            </w:tcMar>
          </w:tcPr>
          <w:p w14:paraId="3BE53B85" w14:textId="55E115E7" w:rsidR="000A4F09" w:rsidRPr="00EA6BEC" w:rsidRDefault="000A4F09" w:rsidP="00FF2765">
            <w:pPr>
              <w:pStyle w:val="NormalWeb"/>
              <w:spacing w:before="0" w:beforeAutospacing="0" w:after="0" w:afterAutospacing="0" w:line="240" w:lineRule="auto"/>
              <w:rPr>
                <w:rFonts w:ascii="Arial" w:hAnsi="Arial" w:cs="Arial"/>
                <w:color w:val="0070C0"/>
              </w:rPr>
            </w:pPr>
            <w:r w:rsidRPr="00EA6BEC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What children need</w:t>
            </w:r>
            <w:r w:rsidRPr="00EA6BEC">
              <w:rPr>
                <w:rFonts w:ascii="Arial" w:hAnsi="Arial" w:cs="Arial"/>
                <w:color w:val="0070C0"/>
              </w:rPr>
              <w:t xml:space="preserve"> </w:t>
            </w:r>
          </w:p>
          <w:p w14:paraId="1CA9D99D" w14:textId="0AB00ED8" w:rsidR="00A742A8" w:rsidRPr="0061337C" w:rsidRDefault="00A742A8" w:rsidP="00FF2765">
            <w:pPr>
              <w:pStyle w:val="NormalWeb"/>
              <w:spacing w:before="120" w:beforeAutospacing="0" w:after="0" w:afterAutospacing="0" w:line="240" w:lineRule="auto"/>
              <w:rPr>
                <w:rFonts w:ascii="Arial" w:hAnsi="Arial" w:cs="Arial"/>
              </w:rPr>
            </w:pPr>
            <w:r w:rsidRPr="0061337C">
              <w:rPr>
                <w:rFonts w:ascii="Arial" w:hAnsi="Arial" w:cs="Arial"/>
              </w:rPr>
              <w:t>[For all children]</w:t>
            </w:r>
            <w:r w:rsidR="003F385E">
              <w:rPr>
                <w:noProof/>
              </w:rPr>
              <w:t xml:space="preserve"> </w:t>
            </w:r>
          </w:p>
          <w:p w14:paraId="3DD0283E" w14:textId="5AA76978" w:rsidR="00BB0F0F" w:rsidRPr="00A51C26" w:rsidRDefault="00BB0F0F" w:rsidP="00FF276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714" w:hanging="357"/>
              <w:rPr>
                <w:rFonts w:ascii="Arial" w:hAnsi="Arial" w:cs="Arial"/>
              </w:rPr>
            </w:pPr>
            <w:r w:rsidRPr="00A51C26">
              <w:rPr>
                <w:rFonts w:ascii="Arial" w:hAnsi="Arial" w:cs="Arial"/>
              </w:rPr>
              <w:t>Supporting great teaching.</w:t>
            </w:r>
            <w:r w:rsidR="00824863">
              <w:rPr>
                <w:noProof/>
              </w:rPr>
              <w:t xml:space="preserve"> </w:t>
            </w:r>
          </w:p>
          <w:p w14:paraId="3B0E1CEC" w14:textId="0CBE30E3" w:rsidR="00A742A8" w:rsidRPr="00A51C26" w:rsidRDefault="00A742A8" w:rsidP="00FF276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714" w:hanging="357"/>
              <w:rPr>
                <w:rFonts w:ascii="Arial" w:hAnsi="Arial" w:cs="Arial"/>
              </w:rPr>
            </w:pPr>
            <w:r w:rsidRPr="00A51C26">
              <w:rPr>
                <w:rFonts w:ascii="Arial" w:hAnsi="Arial" w:cs="Arial"/>
              </w:rPr>
              <w:t xml:space="preserve">Focus on </w:t>
            </w:r>
            <w:r w:rsidR="0044016A" w:rsidRPr="00A51C26">
              <w:rPr>
                <w:rFonts w:ascii="Arial" w:hAnsi="Arial" w:cs="Arial"/>
              </w:rPr>
              <w:t>getting writing back on track</w:t>
            </w:r>
            <w:r w:rsidRPr="00A51C26">
              <w:rPr>
                <w:rFonts w:ascii="Arial" w:hAnsi="Arial" w:cs="Arial"/>
              </w:rPr>
              <w:t>.</w:t>
            </w:r>
            <w:r w:rsidR="00824863">
              <w:rPr>
                <w:noProof/>
              </w:rPr>
              <w:t xml:space="preserve"> </w:t>
            </w:r>
          </w:p>
          <w:p w14:paraId="27786F1D" w14:textId="7DFABEDA" w:rsidR="00A742A8" w:rsidRPr="00A51C26" w:rsidRDefault="0044016A" w:rsidP="00FF276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714" w:hanging="357"/>
              <w:rPr>
                <w:rFonts w:ascii="Arial" w:hAnsi="Arial" w:cs="Arial"/>
              </w:rPr>
            </w:pPr>
            <w:r w:rsidRPr="00A51C26">
              <w:rPr>
                <w:rFonts w:ascii="Arial" w:hAnsi="Arial" w:cs="Arial"/>
              </w:rPr>
              <w:t>Supporting parents and carers</w:t>
            </w:r>
            <w:r w:rsidR="00A742A8" w:rsidRPr="00A51C26">
              <w:rPr>
                <w:rFonts w:ascii="Arial" w:hAnsi="Arial" w:cs="Arial"/>
              </w:rPr>
              <w:t>.</w:t>
            </w:r>
          </w:p>
          <w:p w14:paraId="34E6F574" w14:textId="654EC011" w:rsidR="00A742A8" w:rsidRPr="0061337C" w:rsidRDefault="00A742A8" w:rsidP="00FF2765">
            <w:pPr>
              <w:pStyle w:val="NormalWeb"/>
              <w:spacing w:before="120" w:beforeAutospacing="0" w:after="0" w:afterAutospacing="0" w:line="240" w:lineRule="auto"/>
              <w:rPr>
                <w:rFonts w:ascii="Arial" w:hAnsi="Arial" w:cs="Arial"/>
              </w:rPr>
            </w:pPr>
            <w:r w:rsidRPr="0061337C">
              <w:rPr>
                <w:rFonts w:ascii="Arial" w:hAnsi="Arial" w:cs="Arial"/>
              </w:rPr>
              <w:t>[For some children]</w:t>
            </w:r>
          </w:p>
          <w:p w14:paraId="7E48E2CF" w14:textId="12C42915" w:rsidR="005B61F7" w:rsidRPr="00A51C26" w:rsidRDefault="00A742A8" w:rsidP="00FF276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ind w:left="714" w:hanging="357"/>
              <w:rPr>
                <w:rFonts w:ascii="Arial" w:hAnsi="Arial" w:cs="Arial"/>
              </w:rPr>
            </w:pPr>
            <w:r w:rsidRPr="00A51C26">
              <w:rPr>
                <w:rFonts w:ascii="Arial" w:hAnsi="Arial" w:cs="Arial"/>
              </w:rPr>
              <w:t xml:space="preserve">Additional support and focus </w:t>
            </w:r>
            <w:r w:rsidR="00BB0F0F" w:rsidRPr="00A51C26">
              <w:rPr>
                <w:rFonts w:ascii="Arial" w:hAnsi="Arial" w:cs="Arial"/>
              </w:rPr>
              <w:t>on</w:t>
            </w:r>
            <w:r w:rsidR="009D10F0">
              <w:rPr>
                <w:rFonts w:ascii="Arial" w:hAnsi="Arial" w:cs="Arial"/>
              </w:rPr>
              <w:t xml:space="preserve"> phonics</w:t>
            </w:r>
            <w:r w:rsidR="00BB0F0F" w:rsidRPr="00A51C26">
              <w:rPr>
                <w:rFonts w:ascii="Arial" w:hAnsi="Arial" w:cs="Arial"/>
              </w:rPr>
              <w:t xml:space="preserve"> and/or maths.</w:t>
            </w:r>
          </w:p>
          <w:p w14:paraId="7707FB4B" w14:textId="7BEB01A1" w:rsidR="00A742A8" w:rsidRPr="00A51C26" w:rsidRDefault="00A742A8" w:rsidP="00FF276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40" w:lineRule="auto"/>
              <w:ind w:left="714" w:hanging="357"/>
              <w:rPr>
                <w:rFonts w:ascii="Arial" w:hAnsi="Arial" w:cs="Arial"/>
              </w:rPr>
            </w:pPr>
            <w:r w:rsidRPr="00A51C26">
              <w:rPr>
                <w:rFonts w:ascii="Arial" w:eastAsiaTheme="minorEastAsia" w:hAnsi="Arial" w:cs="Arial"/>
              </w:rPr>
              <w:t>Additional pastoral support.</w:t>
            </w:r>
          </w:p>
        </w:tc>
      </w:tr>
    </w:tbl>
    <w:p w14:paraId="0CB170F3" w14:textId="77777777" w:rsidR="003C6EF2" w:rsidRDefault="003C6EF2" w:rsidP="0033395F">
      <w:pPr>
        <w:jc w:val="center"/>
        <w:rPr>
          <w:rFonts w:ascii="Arial" w:eastAsiaTheme="minorEastAsia" w:hAnsi="Arial" w:cs="Arial"/>
          <w:b/>
          <w:bCs/>
          <w:color w:val="0070C0"/>
          <w:sz w:val="40"/>
          <w:szCs w:val="40"/>
        </w:rPr>
      </w:pPr>
    </w:p>
    <w:p w14:paraId="03B4483A" w14:textId="2D4D61E6" w:rsidR="00DB1689" w:rsidRPr="00EA6BEC" w:rsidRDefault="00DB1689" w:rsidP="0033395F">
      <w:pPr>
        <w:jc w:val="center"/>
        <w:rPr>
          <w:color w:val="0070C0"/>
          <w:sz w:val="36"/>
          <w:szCs w:val="36"/>
        </w:rPr>
      </w:pPr>
      <w:r w:rsidRPr="00EA6BEC">
        <w:rPr>
          <w:rFonts w:ascii="Arial" w:eastAsiaTheme="minorEastAsia" w:hAnsi="Arial" w:cs="Arial"/>
          <w:b/>
          <w:bCs/>
          <w:color w:val="0070C0"/>
          <w:sz w:val="40"/>
          <w:szCs w:val="40"/>
        </w:rPr>
        <w:lastRenderedPageBreak/>
        <w:t>Teaching and whole-school strategies</w:t>
      </w:r>
    </w:p>
    <w:p w14:paraId="794C43C4" w14:textId="407BBD31" w:rsidR="00DB1689" w:rsidRDefault="00DB16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  <w:gridCol w:w="6910"/>
        <w:gridCol w:w="1708"/>
      </w:tblGrid>
      <w:tr w:rsidR="0061337C" w:rsidRPr="0061337C" w14:paraId="0C15BA12" w14:textId="3D3FEE7D" w:rsidTr="00FF2765">
        <w:tc>
          <w:tcPr>
            <w:tcW w:w="935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9083CEA" w14:textId="064B9E5F" w:rsidR="005B61F7" w:rsidRPr="005527C7" w:rsidRDefault="00EB477C" w:rsidP="001B794F">
            <w:pPr>
              <w:pStyle w:val="NormalWeb"/>
              <w:rPr>
                <w:rFonts w:ascii="Arial" w:eastAsiaTheme="minorEastAsia" w:hAnsi="Arial" w:cs="Arial"/>
                <w:b/>
                <w:bCs/>
                <w:color w:val="0070C0"/>
                <w:lang w:eastAsia="en-US"/>
              </w:rPr>
            </w:pPr>
            <w:r w:rsidRPr="005527C7">
              <w:rPr>
                <w:rFonts w:ascii="Arial" w:eastAsiaTheme="minorEastAsia" w:hAnsi="Arial" w:cs="Arial"/>
                <w:b/>
                <w:bCs/>
                <w:color w:val="0070C0"/>
                <w:lang w:eastAsia="en-US"/>
              </w:rPr>
              <w:t>How the grant will be spent</w:t>
            </w:r>
          </w:p>
        </w:tc>
        <w:tc>
          <w:tcPr>
            <w:tcW w:w="6910" w:type="dxa"/>
            <w:tcMar>
              <w:top w:w="57" w:type="dxa"/>
              <w:bottom w:w="57" w:type="dxa"/>
            </w:tcMar>
            <w:vAlign w:val="center"/>
          </w:tcPr>
          <w:p w14:paraId="790133BF" w14:textId="3A65DEAC" w:rsidR="005B61F7" w:rsidRPr="005527C7" w:rsidRDefault="00EB477C" w:rsidP="001B794F">
            <w:pPr>
              <w:pStyle w:val="NormalWeb"/>
              <w:rPr>
                <w:rFonts w:ascii="Arial" w:eastAsiaTheme="minorEastAsia" w:hAnsi="Arial" w:cs="Arial"/>
                <w:b/>
                <w:bCs/>
                <w:color w:val="0070C0"/>
                <w:lang w:eastAsia="en-US"/>
              </w:rPr>
            </w:pPr>
            <w:r w:rsidRPr="005527C7">
              <w:rPr>
                <w:rFonts w:ascii="Arial" w:eastAsiaTheme="minorEastAsia" w:hAnsi="Arial" w:cs="Arial"/>
                <w:b/>
                <w:bCs/>
                <w:color w:val="0070C0"/>
                <w:lang w:eastAsia="en-US"/>
              </w:rPr>
              <w:t>How the effect of this expenditure on the educational attainment of those pupils at the school will be assessed</w:t>
            </w:r>
          </w:p>
        </w:tc>
        <w:tc>
          <w:tcPr>
            <w:tcW w:w="1708" w:type="dxa"/>
            <w:tcMar>
              <w:top w:w="57" w:type="dxa"/>
              <w:bottom w:w="57" w:type="dxa"/>
            </w:tcMar>
            <w:vAlign w:val="center"/>
          </w:tcPr>
          <w:p w14:paraId="58AD0D32" w14:textId="64DEC001" w:rsidR="005B61F7" w:rsidRPr="005527C7" w:rsidRDefault="00EB477C" w:rsidP="00621E5E">
            <w:pPr>
              <w:pStyle w:val="NormalWeb"/>
              <w:jc w:val="right"/>
              <w:rPr>
                <w:rFonts w:ascii="Arial" w:eastAsiaTheme="minorEastAsia" w:hAnsi="Arial" w:cs="Arial"/>
                <w:b/>
                <w:bCs/>
                <w:color w:val="0070C0"/>
                <w:lang w:eastAsia="en-US"/>
              </w:rPr>
            </w:pPr>
            <w:r w:rsidRPr="005527C7">
              <w:rPr>
                <w:rFonts w:ascii="Arial" w:eastAsiaTheme="minorEastAsia" w:hAnsi="Arial" w:cs="Arial"/>
                <w:b/>
                <w:bCs/>
                <w:color w:val="0070C0"/>
                <w:lang w:eastAsia="en-US"/>
              </w:rPr>
              <w:t>Cost</w:t>
            </w:r>
          </w:p>
        </w:tc>
      </w:tr>
      <w:tr w:rsidR="00EB477C" w:rsidRPr="00EB477C" w14:paraId="595268F8" w14:textId="77777777" w:rsidTr="005527C7">
        <w:tc>
          <w:tcPr>
            <w:tcW w:w="0" w:type="auto"/>
            <w:gridSpan w:val="3"/>
            <w:shd w:val="clear" w:color="auto" w:fill="0070C0"/>
            <w:tcMar>
              <w:top w:w="57" w:type="dxa"/>
              <w:bottom w:w="57" w:type="dxa"/>
            </w:tcMar>
          </w:tcPr>
          <w:p w14:paraId="58052B13" w14:textId="78189004" w:rsidR="00EB477C" w:rsidRPr="00EB477C" w:rsidRDefault="00EB477C" w:rsidP="00DB1689">
            <w:pPr>
              <w:pStyle w:val="NormalWeb"/>
              <w:spacing w:before="120" w:beforeAutospacing="0" w:after="120" w:afterAutospacing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BD1CAD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Supporting great teaching</w:t>
            </w:r>
            <w:r w:rsidRPr="00BD1CAD">
              <w:rPr>
                <w:rFonts w:ascii="Arial" w:hAnsi="Arial" w:cs="Arial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DB1689" w:rsidRPr="00A51C26" w14:paraId="66606BF2" w14:textId="77777777" w:rsidTr="00FF2765">
        <w:tc>
          <w:tcPr>
            <w:tcW w:w="9351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633D9B32" w14:textId="1DC8B5C4" w:rsidR="00BB0F0F" w:rsidRPr="00A51C26" w:rsidRDefault="006F2346" w:rsidP="008931F2">
            <w:pPr>
              <w:pStyle w:val="NormalWeb"/>
              <w:spacing w:before="0" w:beforeAutospacing="0" w:after="0" w:afterAutospacing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 whole school project for the first two weeks of term using the book the book Here We Are by Oliver Jeffers (CLPE Text) – all Year groups</w:t>
            </w:r>
            <w:r w:rsidR="00A83CD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910" w:type="dxa"/>
            <w:tcMar>
              <w:top w:w="57" w:type="dxa"/>
              <w:bottom w:w="57" w:type="dxa"/>
            </w:tcMar>
          </w:tcPr>
          <w:p w14:paraId="4D77B324" w14:textId="6C841192" w:rsidR="00BB0F0F" w:rsidRPr="00A51C26" w:rsidRDefault="006F2346" w:rsidP="008931F2">
            <w:pPr>
              <w:spacing w:before="0" w:after="0" w:line="240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dr w:val="nil"/>
              </w:rPr>
              <w:t xml:space="preserve">Attitude to learning and mental wellbeing to </w:t>
            </w:r>
            <w:proofErr w:type="gramStart"/>
            <w:r>
              <w:rPr>
                <w:rFonts w:ascii="Arial" w:hAnsi="Arial" w:cs="Arial"/>
                <w:bdr w:val="nil"/>
              </w:rPr>
              <w:t>be explored</w:t>
            </w:r>
            <w:proofErr w:type="gramEnd"/>
            <w:r>
              <w:rPr>
                <w:rFonts w:ascii="Arial" w:hAnsi="Arial" w:cs="Arial"/>
                <w:bdr w:val="nil"/>
              </w:rPr>
              <w:t xml:space="preserve"> during this time – children eased back into school</w:t>
            </w:r>
            <w:r w:rsidR="00EB477C" w:rsidRPr="00A51C26">
              <w:rPr>
                <w:rFonts w:ascii="Arial" w:hAnsi="Arial" w:cs="Arial"/>
                <w:bdr w:val="nil"/>
              </w:rPr>
              <w:t>.</w:t>
            </w:r>
          </w:p>
        </w:tc>
        <w:tc>
          <w:tcPr>
            <w:tcW w:w="1708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04204E17" w14:textId="37B190A1" w:rsidR="00BB0F0F" w:rsidRPr="00A51C26" w:rsidRDefault="00A83CDF" w:rsidP="008931F2">
            <w:pPr>
              <w:pStyle w:val="NormalWeb"/>
              <w:spacing w:before="0" w:beforeAutospacing="0" w:after="0" w:afterAutospacing="0" w:line="240" w:lineRule="auto"/>
              <w:jc w:val="right"/>
              <w:rPr>
                <w:rFonts w:ascii="Arial" w:hAnsi="Arial" w:cs="Arial"/>
                <w:bdr w:val="nil"/>
              </w:rPr>
            </w:pPr>
            <w:r>
              <w:rPr>
                <w:rFonts w:ascii="Arial" w:hAnsi="Arial" w:cs="Arial"/>
                <w:bdr w:val="nil"/>
              </w:rPr>
              <w:t>£370</w:t>
            </w:r>
          </w:p>
        </w:tc>
      </w:tr>
      <w:tr w:rsidR="00A83CDF" w:rsidRPr="00A51C26" w14:paraId="4D9CBD25" w14:textId="77777777" w:rsidTr="00A83CDF">
        <w:trPr>
          <w:trHeight w:val="679"/>
        </w:trPr>
        <w:tc>
          <w:tcPr>
            <w:tcW w:w="935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3C05889" w14:textId="5BC32FE2" w:rsidR="00A83CDF" w:rsidRPr="0061337C" w:rsidRDefault="00A83CDF" w:rsidP="008931F2">
            <w:pPr>
              <w:pStyle w:val="NormalWeb"/>
              <w:spacing w:before="0" w:beforeAutospacing="0" w:after="0" w:afterAutospacing="0" w:line="240" w:lineRule="auto"/>
              <w:rPr>
                <w:rFonts w:ascii="Arial" w:hAnsi="Arial" w:cs="Arial"/>
                <w:color w:val="009EFF"/>
              </w:rPr>
            </w:pPr>
            <w:r w:rsidRPr="00A51C26">
              <w:rPr>
                <w:rFonts w:ascii="Arial" w:hAnsi="Arial" w:cs="Arial"/>
              </w:rPr>
              <w:t>Professional development to support plann</w:t>
            </w:r>
            <w:r>
              <w:rPr>
                <w:rFonts w:ascii="Arial" w:hAnsi="Arial" w:cs="Arial"/>
              </w:rPr>
              <w:t>ing of and teaching of writing.</w:t>
            </w:r>
          </w:p>
        </w:tc>
        <w:tc>
          <w:tcPr>
            <w:tcW w:w="691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5114740" w14:textId="776D3C14" w:rsidR="00A83CDF" w:rsidRPr="00A51C26" w:rsidRDefault="00A83CDF" w:rsidP="008931F2">
            <w:pPr>
              <w:spacing w:before="0" w:after="0" w:line="240" w:lineRule="auto"/>
              <w:rPr>
                <w:rFonts w:ascii="Arial" w:hAnsi="Arial" w:cs="Arial"/>
                <w:lang w:val="en-GB"/>
              </w:rPr>
            </w:pPr>
            <w:r w:rsidRPr="00A51C26">
              <w:rPr>
                <w:rFonts w:ascii="Arial" w:hAnsi="Arial" w:cs="Arial"/>
                <w:bdr w:val="nil"/>
              </w:rPr>
              <w:t xml:space="preserve">Progress will be tracked against targets set in </w:t>
            </w:r>
            <w:r>
              <w:rPr>
                <w:rFonts w:ascii="Arial" w:hAnsi="Arial" w:cs="Arial"/>
                <w:bdr w:val="nil"/>
              </w:rPr>
              <w:t>w</w:t>
            </w:r>
            <w:r w:rsidRPr="00A51C26">
              <w:rPr>
                <w:rFonts w:ascii="Arial" w:hAnsi="Arial" w:cs="Arial"/>
                <w:bdr w:val="nil"/>
              </w:rPr>
              <w:t>riting for each year group as outlined above</w:t>
            </w:r>
          </w:p>
        </w:tc>
        <w:tc>
          <w:tcPr>
            <w:tcW w:w="1708" w:type="dxa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2E74708" w14:textId="7952FC0B" w:rsidR="00A83CDF" w:rsidRPr="00A51C26" w:rsidRDefault="00A83CDF" w:rsidP="008931F2">
            <w:pPr>
              <w:pStyle w:val="NormalWeb"/>
              <w:spacing w:before="0" w:after="0"/>
              <w:jc w:val="right"/>
              <w:rPr>
                <w:rFonts w:ascii="Arial" w:hAnsi="Arial" w:cs="Arial"/>
                <w:bdr w:val="nil"/>
              </w:rPr>
            </w:pPr>
          </w:p>
        </w:tc>
      </w:tr>
      <w:tr w:rsidR="00A83CDF" w:rsidRPr="00A51C26" w14:paraId="3528164D" w14:textId="77777777" w:rsidTr="00A83CDF">
        <w:tc>
          <w:tcPr>
            <w:tcW w:w="9351" w:type="dxa"/>
            <w:tcMar>
              <w:top w:w="57" w:type="dxa"/>
              <w:bottom w:w="57" w:type="dxa"/>
            </w:tcMar>
          </w:tcPr>
          <w:p w14:paraId="7AE0D0FA" w14:textId="6B718065" w:rsidR="00A83CDF" w:rsidRPr="00A51C26" w:rsidRDefault="00A83CDF" w:rsidP="008931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Informal work scrutiny to identify gaps in writing and areas to concentrate </w:t>
            </w:r>
            <w:proofErr w:type="gramStart"/>
            <w:r>
              <w:rPr>
                <w:rFonts w:ascii="Arial" w:hAnsi="Arial" w:cs="Arial"/>
              </w:rPr>
              <w:t>on</w:t>
            </w:r>
            <w:proofErr w:type="gramEnd"/>
            <w:r>
              <w:rPr>
                <w:rFonts w:ascii="Arial" w:hAnsi="Arial" w:cs="Arial"/>
              </w:rPr>
              <w:t>. Additional focus on stamina for writing</w:t>
            </w:r>
          </w:p>
        </w:tc>
        <w:tc>
          <w:tcPr>
            <w:tcW w:w="6910" w:type="dxa"/>
            <w:tcMar>
              <w:top w:w="57" w:type="dxa"/>
              <w:bottom w:w="57" w:type="dxa"/>
            </w:tcMar>
          </w:tcPr>
          <w:p w14:paraId="1DBE09DF" w14:textId="1766E0CA" w:rsidR="00A83CDF" w:rsidRPr="00A51C26" w:rsidRDefault="00A83CDF" w:rsidP="008931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Progress and presentation monitored on a termly basis</w:t>
            </w:r>
          </w:p>
        </w:tc>
        <w:tc>
          <w:tcPr>
            <w:tcW w:w="1708" w:type="dxa"/>
            <w:tcMar>
              <w:top w:w="57" w:type="dxa"/>
              <w:bottom w:w="57" w:type="dxa"/>
            </w:tcMar>
          </w:tcPr>
          <w:p w14:paraId="1E8D7E04" w14:textId="75798BC0" w:rsidR="00A83CDF" w:rsidRPr="00A51C26" w:rsidRDefault="00A83CDF" w:rsidP="008931F2">
            <w:pPr>
              <w:pStyle w:val="NormalWeb"/>
              <w:spacing w:before="0" w:after="0"/>
              <w:jc w:val="right"/>
              <w:rPr>
                <w:rFonts w:ascii="Arial" w:hAnsi="Arial" w:cs="Arial"/>
                <w:bdr w:val="nil"/>
              </w:rPr>
            </w:pPr>
          </w:p>
        </w:tc>
      </w:tr>
      <w:tr w:rsidR="00A83CDF" w:rsidRPr="00A51C26" w14:paraId="4BB293A6" w14:textId="77777777" w:rsidTr="00A83CDF">
        <w:tc>
          <w:tcPr>
            <w:tcW w:w="9351" w:type="dxa"/>
            <w:tcMar>
              <w:top w:w="57" w:type="dxa"/>
              <w:bottom w:w="57" w:type="dxa"/>
            </w:tcMar>
          </w:tcPr>
          <w:p w14:paraId="250A04D0" w14:textId="2206A662" w:rsidR="00A83CDF" w:rsidRDefault="00A83CDF" w:rsidP="008931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Informal teaching observations to pick up any concerns regarding the children’s learning</w:t>
            </w:r>
          </w:p>
        </w:tc>
        <w:tc>
          <w:tcPr>
            <w:tcW w:w="6910" w:type="dxa"/>
            <w:tcMar>
              <w:top w:w="57" w:type="dxa"/>
              <w:bottom w:w="57" w:type="dxa"/>
            </w:tcMar>
          </w:tcPr>
          <w:p w14:paraId="0C67755C" w14:textId="3A2504EA" w:rsidR="00A83CDF" w:rsidRPr="00A51C26" w:rsidRDefault="00A83CDF" w:rsidP="008931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children identified for additional support to be tracked</w:t>
            </w:r>
          </w:p>
        </w:tc>
        <w:tc>
          <w:tcPr>
            <w:tcW w:w="1708" w:type="dxa"/>
            <w:tcMar>
              <w:top w:w="57" w:type="dxa"/>
              <w:bottom w:w="57" w:type="dxa"/>
            </w:tcMar>
          </w:tcPr>
          <w:p w14:paraId="780DFD12" w14:textId="701529F3" w:rsidR="00A83CDF" w:rsidRPr="00A51C26" w:rsidRDefault="00A83CDF" w:rsidP="008931F2">
            <w:pPr>
              <w:pStyle w:val="NormalWeb"/>
              <w:spacing w:before="0" w:after="0"/>
              <w:jc w:val="right"/>
              <w:rPr>
                <w:rFonts w:ascii="Arial" w:hAnsi="Arial" w:cs="Arial"/>
                <w:bdr w:val="nil"/>
              </w:rPr>
            </w:pPr>
          </w:p>
        </w:tc>
      </w:tr>
      <w:tr w:rsidR="00A83CDF" w:rsidRPr="00A51C26" w14:paraId="131040E9" w14:textId="77777777" w:rsidTr="00A83CDF">
        <w:tc>
          <w:tcPr>
            <w:tcW w:w="9351" w:type="dxa"/>
            <w:tcMar>
              <w:top w:w="57" w:type="dxa"/>
              <w:bottom w:w="57" w:type="dxa"/>
            </w:tcMar>
          </w:tcPr>
          <w:p w14:paraId="4423AF69" w14:textId="59016F71" w:rsidR="00A83CDF" w:rsidRDefault="00A83CDF" w:rsidP="008931F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Teaching Assistant support in Year 6 to ensure the children are ready for secondary transition – focus on small group work</w:t>
            </w:r>
          </w:p>
        </w:tc>
        <w:tc>
          <w:tcPr>
            <w:tcW w:w="6910" w:type="dxa"/>
            <w:tcMar>
              <w:top w:w="57" w:type="dxa"/>
              <w:bottom w:w="57" w:type="dxa"/>
            </w:tcMar>
          </w:tcPr>
          <w:p w14:paraId="280D2B9C" w14:textId="354AA0DB" w:rsidR="00A83CDF" w:rsidRPr="00A51C26" w:rsidRDefault="00A83CDF" w:rsidP="008931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of </w:t>
            </w:r>
            <w:proofErr w:type="spellStart"/>
            <w:r>
              <w:rPr>
                <w:rFonts w:ascii="Arial" w:hAnsi="Arial" w:cs="Arial"/>
              </w:rPr>
              <w:t>PiXL</w:t>
            </w:r>
            <w:proofErr w:type="spellEnd"/>
            <w:r>
              <w:rPr>
                <w:rFonts w:ascii="Arial" w:hAnsi="Arial" w:cs="Arial"/>
              </w:rPr>
              <w:t xml:space="preserve"> to track progress towards expected standards. Termly target tracker information.</w:t>
            </w:r>
          </w:p>
        </w:tc>
        <w:tc>
          <w:tcPr>
            <w:tcW w:w="1708" w:type="dxa"/>
            <w:tcMar>
              <w:top w:w="57" w:type="dxa"/>
              <w:bottom w:w="57" w:type="dxa"/>
            </w:tcMar>
          </w:tcPr>
          <w:p w14:paraId="1C4EB8B2" w14:textId="0BD8ECD9" w:rsidR="00A83CDF" w:rsidRPr="00A51C26" w:rsidRDefault="00A83CDF" w:rsidP="008931F2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dr w:val="nil"/>
              </w:rPr>
            </w:pPr>
            <w:r>
              <w:rPr>
                <w:rFonts w:ascii="Arial" w:hAnsi="Arial" w:cs="Arial"/>
                <w:bdr w:val="nil"/>
              </w:rPr>
              <w:t>£6,300</w:t>
            </w:r>
          </w:p>
        </w:tc>
      </w:tr>
      <w:tr w:rsidR="00EB477C" w:rsidRPr="00EB477C" w14:paraId="7411F9CB" w14:textId="77777777" w:rsidTr="005527C7">
        <w:tc>
          <w:tcPr>
            <w:tcW w:w="0" w:type="auto"/>
            <w:gridSpan w:val="3"/>
            <w:shd w:val="clear" w:color="auto" w:fill="0070C0"/>
            <w:tcMar>
              <w:top w:w="57" w:type="dxa"/>
              <w:bottom w:w="57" w:type="dxa"/>
            </w:tcMar>
          </w:tcPr>
          <w:p w14:paraId="3759334E" w14:textId="5B5CFC97" w:rsidR="00780252" w:rsidRPr="00EB477C" w:rsidRDefault="00EB477C" w:rsidP="00DB1689">
            <w:pPr>
              <w:pStyle w:val="NormalWeb"/>
              <w:spacing w:before="120" w:beforeAutospacing="0" w:after="120" w:afterAutospacing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EB477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Focus on </w:t>
            </w:r>
            <w:r w:rsidRPr="00BD1CAD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getting writing back on track</w:t>
            </w:r>
          </w:p>
        </w:tc>
      </w:tr>
      <w:tr w:rsidR="003C6EF2" w:rsidRPr="00A51C26" w14:paraId="00A6B775" w14:textId="77777777" w:rsidTr="003C6EF2">
        <w:tc>
          <w:tcPr>
            <w:tcW w:w="9351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2A3749FC" w14:textId="2DD564EA" w:rsidR="003C6EF2" w:rsidRPr="00A51C26" w:rsidRDefault="003C6EF2" w:rsidP="008931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A51C26">
              <w:rPr>
                <w:rFonts w:ascii="Arial" w:hAnsi="Arial" w:cs="Arial"/>
              </w:rPr>
              <w:t xml:space="preserve">Use of subject-specific assessments to identify particular areas where pupils have forgotten or misunderstood key concepts, to ensure that new material </w:t>
            </w:r>
            <w:proofErr w:type="gramStart"/>
            <w:r w:rsidRPr="00A51C26">
              <w:rPr>
                <w:rFonts w:ascii="Arial" w:hAnsi="Arial" w:cs="Arial"/>
              </w:rPr>
              <w:t>being covered</w:t>
            </w:r>
            <w:proofErr w:type="gramEnd"/>
            <w:r w:rsidRPr="00A51C26">
              <w:rPr>
                <w:rFonts w:ascii="Arial" w:hAnsi="Arial" w:cs="Arial"/>
              </w:rPr>
              <w:t xml:space="preserve"> builds on secure foundations. </w:t>
            </w:r>
          </w:p>
        </w:tc>
        <w:tc>
          <w:tcPr>
            <w:tcW w:w="6910" w:type="dxa"/>
            <w:tcMar>
              <w:top w:w="57" w:type="dxa"/>
              <w:bottom w:w="57" w:type="dxa"/>
            </w:tcMar>
          </w:tcPr>
          <w:p w14:paraId="776E596A" w14:textId="418CEEC0" w:rsidR="003C6EF2" w:rsidRPr="00A51C26" w:rsidRDefault="003C6EF2" w:rsidP="008931F2">
            <w:pPr>
              <w:pStyle w:val="NormalWeb"/>
              <w:spacing w:before="0" w:beforeAutospacing="0" w:after="0" w:afterAutospacing="0" w:line="240" w:lineRule="auto"/>
              <w:rPr>
                <w:rFonts w:ascii="Arial" w:hAnsi="Arial" w:cs="Arial"/>
                <w:bdr w:val="nil"/>
              </w:rPr>
            </w:pPr>
            <w:r w:rsidRPr="00A51C26">
              <w:rPr>
                <w:rFonts w:ascii="Arial" w:hAnsi="Arial" w:cs="Arial"/>
                <w:bdr w:val="nil"/>
              </w:rPr>
              <w:t xml:space="preserve">Progress </w:t>
            </w:r>
            <w:proofErr w:type="gramStart"/>
            <w:r w:rsidRPr="00A51C26">
              <w:rPr>
                <w:rFonts w:ascii="Arial" w:hAnsi="Arial" w:cs="Arial"/>
                <w:bdr w:val="nil"/>
              </w:rPr>
              <w:t>will be tracked</w:t>
            </w:r>
            <w:proofErr w:type="gramEnd"/>
            <w:r w:rsidRPr="00A51C26">
              <w:rPr>
                <w:rFonts w:ascii="Arial" w:hAnsi="Arial" w:cs="Arial"/>
                <w:bdr w:val="nil"/>
              </w:rPr>
              <w:t xml:space="preserve"> against targets set in </w:t>
            </w:r>
            <w:r>
              <w:rPr>
                <w:rFonts w:ascii="Arial" w:hAnsi="Arial" w:cs="Arial"/>
                <w:bdr w:val="nil"/>
              </w:rPr>
              <w:t>w</w:t>
            </w:r>
            <w:r w:rsidRPr="00A51C26">
              <w:rPr>
                <w:rFonts w:ascii="Arial" w:hAnsi="Arial" w:cs="Arial"/>
                <w:bdr w:val="nil"/>
              </w:rPr>
              <w:t>riting for each year group as outlined above.</w:t>
            </w:r>
          </w:p>
          <w:p w14:paraId="261E0DEF" w14:textId="580077DB" w:rsidR="003C6EF2" w:rsidRPr="00A51C26" w:rsidRDefault="003C6EF2" w:rsidP="008931F2">
            <w:pPr>
              <w:spacing w:before="0"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708" w:type="dxa"/>
            <w:tcMar>
              <w:top w:w="57" w:type="dxa"/>
              <w:bottom w:w="57" w:type="dxa"/>
            </w:tcMar>
          </w:tcPr>
          <w:p w14:paraId="6A0944F1" w14:textId="3A0DF355" w:rsidR="003C6EF2" w:rsidRPr="00A51C26" w:rsidRDefault="003C6EF2" w:rsidP="008931F2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dr w:val="nil"/>
              </w:rPr>
            </w:pPr>
          </w:p>
        </w:tc>
      </w:tr>
      <w:tr w:rsidR="003C6EF2" w:rsidRPr="00A51C26" w14:paraId="24A2A005" w14:textId="77777777" w:rsidTr="003C6EF2">
        <w:trPr>
          <w:trHeight w:val="1104"/>
        </w:trPr>
        <w:tc>
          <w:tcPr>
            <w:tcW w:w="935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2D7A19A" w14:textId="0A6AFF5F" w:rsidR="003C6EF2" w:rsidRPr="0061337C" w:rsidRDefault="003C6EF2" w:rsidP="008931F2">
            <w:pPr>
              <w:pStyle w:val="NormalWeb"/>
              <w:spacing w:before="0" w:beforeAutospacing="0" w:after="0" w:afterAutospacing="0" w:line="240" w:lineRule="auto"/>
              <w:rPr>
                <w:rFonts w:ascii="Arial" w:hAnsi="Arial" w:cs="Arial"/>
                <w:color w:val="7800AF"/>
              </w:rPr>
            </w:pPr>
            <w:r w:rsidRPr="00A51C26">
              <w:rPr>
                <w:rFonts w:ascii="Arial" w:hAnsi="Arial" w:cs="Arial"/>
                <w:color w:val="1C1C19"/>
              </w:rPr>
              <w:t xml:space="preserve">Delivery of a programme to address issues in writing through small group tutoring in </w:t>
            </w:r>
            <w:r>
              <w:rPr>
                <w:rFonts w:ascii="Arial" w:hAnsi="Arial" w:cs="Arial"/>
                <w:color w:val="1C1C19"/>
              </w:rPr>
              <w:t>u</w:t>
            </w:r>
            <w:r w:rsidRPr="00A51C26">
              <w:rPr>
                <w:rFonts w:ascii="Arial" w:hAnsi="Arial" w:cs="Arial"/>
                <w:color w:val="1C1C19"/>
              </w:rPr>
              <w:t xml:space="preserve">pper KS2 for those identified as falling behind and not making accelerated progress yet at EXS and GDS. This will include regular sessions maintained over a sustained period and carefully timetabled to enable consistent delivery.  </w:t>
            </w:r>
            <w:r>
              <w:rPr>
                <w:rFonts w:ascii="Arial" w:hAnsi="Arial" w:cs="Arial"/>
                <w:color w:val="1C1C19"/>
              </w:rPr>
              <w:t>(</w:t>
            </w:r>
            <w:r w:rsidRPr="00A51C26">
              <w:rPr>
                <w:rFonts w:ascii="Arial" w:hAnsi="Arial" w:cs="Arial"/>
                <w:color w:val="1C1C19"/>
              </w:rPr>
              <w:t>£7</w:t>
            </w:r>
            <w:r>
              <w:rPr>
                <w:rFonts w:ascii="Arial" w:hAnsi="Arial" w:cs="Arial"/>
                <w:color w:val="1C1C19"/>
              </w:rPr>
              <w:t>,</w:t>
            </w:r>
            <w:r w:rsidRPr="00A51C26">
              <w:rPr>
                <w:rFonts w:ascii="Arial" w:hAnsi="Arial" w:cs="Arial"/>
                <w:color w:val="1C1C19"/>
              </w:rPr>
              <w:t>000</w:t>
            </w:r>
            <w:r>
              <w:rPr>
                <w:rFonts w:ascii="Arial" w:hAnsi="Arial" w:cs="Arial"/>
                <w:color w:val="1C1C19"/>
              </w:rPr>
              <w:t>)</w:t>
            </w:r>
          </w:p>
        </w:tc>
        <w:tc>
          <w:tcPr>
            <w:tcW w:w="691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E924DA3" w14:textId="23AC3D7F" w:rsidR="003C6EF2" w:rsidRPr="00A51C26" w:rsidRDefault="003C6EF2" w:rsidP="008931F2">
            <w:pPr>
              <w:pStyle w:val="NormalWeb"/>
              <w:spacing w:before="0" w:beforeAutospacing="0" w:after="0" w:afterAutospacing="0" w:line="240" w:lineRule="auto"/>
              <w:rPr>
                <w:rFonts w:ascii="Arial" w:hAnsi="Arial" w:cs="Arial"/>
                <w:bdr w:val="nil"/>
              </w:rPr>
            </w:pPr>
            <w:r w:rsidRPr="00A51C26">
              <w:rPr>
                <w:rFonts w:ascii="Arial" w:hAnsi="Arial" w:cs="Arial"/>
                <w:bdr w:val="nil"/>
              </w:rPr>
              <w:t xml:space="preserve">Progress </w:t>
            </w:r>
            <w:proofErr w:type="gramStart"/>
            <w:r w:rsidRPr="00A51C26">
              <w:rPr>
                <w:rFonts w:ascii="Arial" w:hAnsi="Arial" w:cs="Arial"/>
                <w:bdr w:val="nil"/>
              </w:rPr>
              <w:t>will be tracked</w:t>
            </w:r>
            <w:proofErr w:type="gramEnd"/>
            <w:r w:rsidRPr="00A51C26">
              <w:rPr>
                <w:rFonts w:ascii="Arial" w:hAnsi="Arial" w:cs="Arial"/>
                <w:bdr w:val="nil"/>
              </w:rPr>
              <w:t xml:space="preserve"> against targets set in </w:t>
            </w:r>
            <w:r>
              <w:rPr>
                <w:rFonts w:ascii="Arial" w:hAnsi="Arial" w:cs="Arial"/>
                <w:bdr w:val="nil"/>
              </w:rPr>
              <w:t>w</w:t>
            </w:r>
            <w:r w:rsidRPr="00A51C26">
              <w:rPr>
                <w:rFonts w:ascii="Arial" w:hAnsi="Arial" w:cs="Arial"/>
                <w:bdr w:val="nil"/>
              </w:rPr>
              <w:t>riting for each year group as outlined above.</w:t>
            </w:r>
          </w:p>
          <w:p w14:paraId="755F561A" w14:textId="62E9EE85" w:rsidR="003C6EF2" w:rsidRPr="00A51C26" w:rsidRDefault="003C6EF2" w:rsidP="008931F2">
            <w:pPr>
              <w:pStyle w:val="NormalWeb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</w:p>
        </w:tc>
        <w:tc>
          <w:tcPr>
            <w:tcW w:w="1708" w:type="dxa"/>
            <w:tcMar>
              <w:top w:w="57" w:type="dxa"/>
              <w:bottom w:w="57" w:type="dxa"/>
            </w:tcMar>
          </w:tcPr>
          <w:p w14:paraId="65771662" w14:textId="77777777" w:rsidR="003C6EF2" w:rsidRPr="00A51C26" w:rsidRDefault="003C6EF2" w:rsidP="008931F2">
            <w:pPr>
              <w:pStyle w:val="NormalWeb"/>
              <w:spacing w:before="0" w:beforeAutospacing="0" w:after="0" w:afterAutospacing="0" w:line="240" w:lineRule="auto"/>
              <w:rPr>
                <w:rFonts w:ascii="Arial" w:hAnsi="Arial" w:cs="Arial"/>
                <w:bdr w:val="nil"/>
              </w:rPr>
            </w:pPr>
          </w:p>
        </w:tc>
      </w:tr>
      <w:tr w:rsidR="003C6EF2" w:rsidRPr="00A51C26" w14:paraId="521BFED2" w14:textId="77777777" w:rsidTr="003C6EF2">
        <w:tc>
          <w:tcPr>
            <w:tcW w:w="9351" w:type="dxa"/>
            <w:tcMar>
              <w:top w:w="57" w:type="dxa"/>
              <w:bottom w:w="57" w:type="dxa"/>
            </w:tcMar>
          </w:tcPr>
          <w:p w14:paraId="70228A37" w14:textId="1CDEE03E" w:rsidR="003C6EF2" w:rsidRPr="00A51C26" w:rsidRDefault="003C6EF2" w:rsidP="008931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C19"/>
              </w:rPr>
            </w:pPr>
            <w:r>
              <w:rPr>
                <w:rFonts w:ascii="Arial" w:hAnsi="Arial" w:cs="Arial"/>
                <w:color w:val="1C1C19"/>
              </w:rPr>
              <w:t xml:space="preserve">Additional sessions for Read Write </w:t>
            </w:r>
            <w:proofErr w:type="spellStart"/>
            <w:r>
              <w:rPr>
                <w:rFonts w:ascii="Arial" w:hAnsi="Arial" w:cs="Arial"/>
                <w:color w:val="1C1C19"/>
              </w:rPr>
              <w:t>Inc</w:t>
            </w:r>
            <w:proofErr w:type="spellEnd"/>
            <w:r>
              <w:rPr>
                <w:rFonts w:ascii="Arial" w:hAnsi="Arial" w:cs="Arial"/>
                <w:color w:val="1C1C19"/>
              </w:rPr>
              <w:t xml:space="preserve"> in Years 1, 2 and 3 with a focus on Year 1 who will have missed out on their phonics during Reception Year. Use HLTA to deliver extra sessions</w:t>
            </w:r>
          </w:p>
        </w:tc>
        <w:tc>
          <w:tcPr>
            <w:tcW w:w="6910" w:type="dxa"/>
            <w:tcMar>
              <w:top w:w="57" w:type="dxa"/>
              <w:bottom w:w="57" w:type="dxa"/>
            </w:tcMar>
          </w:tcPr>
          <w:p w14:paraId="781D5251" w14:textId="52674D55" w:rsidR="003C6EF2" w:rsidRPr="00A51C26" w:rsidRDefault="003C6EF2" w:rsidP="008931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dr w:val="nil"/>
              </w:rPr>
            </w:pPr>
            <w:r>
              <w:rPr>
                <w:rFonts w:ascii="Arial" w:hAnsi="Arial" w:cs="Arial"/>
                <w:bdr w:val="nil"/>
              </w:rPr>
              <w:t xml:space="preserve">Use Read Write </w:t>
            </w:r>
            <w:proofErr w:type="spellStart"/>
            <w:r>
              <w:rPr>
                <w:rFonts w:ascii="Arial" w:hAnsi="Arial" w:cs="Arial"/>
                <w:bdr w:val="nil"/>
              </w:rPr>
              <w:t>Inc</w:t>
            </w:r>
            <w:proofErr w:type="spellEnd"/>
            <w:r>
              <w:rPr>
                <w:rFonts w:ascii="Arial" w:hAnsi="Arial" w:cs="Arial"/>
                <w:bdr w:val="nil"/>
              </w:rPr>
              <w:t xml:space="preserve"> Assessments to identify what </w:t>
            </w:r>
            <w:proofErr w:type="gramStart"/>
            <w:r>
              <w:rPr>
                <w:rFonts w:ascii="Arial" w:hAnsi="Arial" w:cs="Arial"/>
                <w:bdr w:val="nil"/>
              </w:rPr>
              <w:t>has been missed</w:t>
            </w:r>
            <w:proofErr w:type="gramEnd"/>
            <w:r>
              <w:rPr>
                <w:rFonts w:ascii="Arial" w:hAnsi="Arial" w:cs="Arial"/>
                <w:bdr w:val="nil"/>
              </w:rPr>
              <w:t>. Year 1 phonics screening</w:t>
            </w:r>
          </w:p>
        </w:tc>
        <w:tc>
          <w:tcPr>
            <w:tcW w:w="1708" w:type="dxa"/>
            <w:tcMar>
              <w:top w:w="57" w:type="dxa"/>
              <w:bottom w:w="57" w:type="dxa"/>
            </w:tcMar>
          </w:tcPr>
          <w:p w14:paraId="17EBF4D3" w14:textId="6FD65304" w:rsidR="003C6EF2" w:rsidRPr="00A51C26" w:rsidRDefault="003C6EF2" w:rsidP="008931F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dr w:val="nil"/>
              </w:rPr>
            </w:pPr>
            <w:r>
              <w:rPr>
                <w:rFonts w:ascii="Arial" w:hAnsi="Arial" w:cs="Arial"/>
                <w:bdr w:val="nil"/>
              </w:rPr>
              <w:t xml:space="preserve">           £3,500</w:t>
            </w:r>
          </w:p>
        </w:tc>
      </w:tr>
      <w:tr w:rsidR="00BD1CAD" w:rsidRPr="00A51C26" w14:paraId="4A22D0BC" w14:textId="77777777" w:rsidTr="005527C7">
        <w:trPr>
          <w:trHeight w:val="526"/>
        </w:trPr>
        <w:tc>
          <w:tcPr>
            <w:tcW w:w="17969" w:type="dxa"/>
            <w:gridSpan w:val="3"/>
            <w:shd w:val="clear" w:color="auto" w:fill="0070C0"/>
            <w:tcMar>
              <w:top w:w="57" w:type="dxa"/>
              <w:bottom w:w="57" w:type="dxa"/>
            </w:tcMar>
            <w:vAlign w:val="center"/>
          </w:tcPr>
          <w:p w14:paraId="0966DC6C" w14:textId="3844425B" w:rsidR="00BD1CAD" w:rsidRPr="00BD1CAD" w:rsidRDefault="00BD1CAD" w:rsidP="00BD1CA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EB477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Additional s</w:t>
            </w:r>
            <w:r w:rsidR="005527C7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upport and focus on </w:t>
            </w:r>
            <w:r w:rsidRPr="00EB477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maths</w:t>
            </w:r>
          </w:p>
        </w:tc>
      </w:tr>
      <w:tr w:rsidR="00BD1CAD" w:rsidRPr="00A51C26" w14:paraId="183C8943" w14:textId="77777777" w:rsidTr="00FF2765">
        <w:tc>
          <w:tcPr>
            <w:tcW w:w="9351" w:type="dxa"/>
            <w:tcMar>
              <w:top w:w="57" w:type="dxa"/>
              <w:bottom w:w="57" w:type="dxa"/>
            </w:tcMar>
          </w:tcPr>
          <w:p w14:paraId="1CA10240" w14:textId="653951C4" w:rsidR="00BD1CAD" w:rsidRPr="00BD1CAD" w:rsidRDefault="00D565A9" w:rsidP="00D565A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dr w:val="nil"/>
              </w:rPr>
              <w:t>Tuition given to small groups in school in Years 2, 3 and 5. Groups all have input for one week based on gaps identified through assessment. PPA teacher employed to plan and teach these groups</w:t>
            </w:r>
          </w:p>
        </w:tc>
        <w:tc>
          <w:tcPr>
            <w:tcW w:w="6910" w:type="dxa"/>
            <w:tcMar>
              <w:top w:w="57" w:type="dxa"/>
              <w:bottom w:w="57" w:type="dxa"/>
            </w:tcMar>
          </w:tcPr>
          <w:p w14:paraId="67E009F8" w14:textId="3EDD7975" w:rsidR="00BD1CAD" w:rsidRPr="00BD1CAD" w:rsidRDefault="00BD1CAD" w:rsidP="00BD1CAD">
            <w:pPr>
              <w:pStyle w:val="NormalWeb"/>
              <w:spacing w:before="0" w:beforeAutospacing="0" w:after="0" w:afterAutospacing="0"/>
            </w:pPr>
            <w:r w:rsidRPr="00A51C26">
              <w:rPr>
                <w:rFonts w:ascii="Arial" w:hAnsi="Arial" w:cs="Arial"/>
                <w:bdr w:val="nil"/>
              </w:rPr>
              <w:t xml:space="preserve">Progress </w:t>
            </w:r>
            <w:proofErr w:type="gramStart"/>
            <w:r w:rsidRPr="00A51C26">
              <w:rPr>
                <w:rFonts w:ascii="Arial" w:hAnsi="Arial" w:cs="Arial"/>
                <w:bdr w:val="nil"/>
              </w:rPr>
              <w:t>will be tracked</w:t>
            </w:r>
            <w:proofErr w:type="gramEnd"/>
            <w:r w:rsidRPr="00A51C26">
              <w:rPr>
                <w:rFonts w:ascii="Arial" w:hAnsi="Arial" w:cs="Arial"/>
                <w:bdr w:val="nil"/>
              </w:rPr>
              <w:t xml:space="preserve"> against all targets set for each year group as outlined above.</w:t>
            </w:r>
            <w:r w:rsidR="003C6EF2">
              <w:rPr>
                <w:rFonts w:ascii="Arial" w:hAnsi="Arial" w:cs="Arial"/>
                <w:bdr w:val="nil"/>
              </w:rPr>
              <w:t xml:space="preserve"> Using </w:t>
            </w:r>
            <w:proofErr w:type="spellStart"/>
            <w:r w:rsidR="003C6EF2">
              <w:rPr>
                <w:rFonts w:ascii="Arial" w:hAnsi="Arial" w:cs="Arial"/>
                <w:bdr w:val="nil"/>
              </w:rPr>
              <w:t>PiXL</w:t>
            </w:r>
            <w:proofErr w:type="spellEnd"/>
            <w:r w:rsidR="003C6EF2">
              <w:rPr>
                <w:rFonts w:ascii="Arial" w:hAnsi="Arial" w:cs="Arial"/>
                <w:bdr w:val="nil"/>
              </w:rPr>
              <w:t xml:space="preserve"> Assessment to continue to identify any gaps in learning</w:t>
            </w:r>
          </w:p>
        </w:tc>
        <w:tc>
          <w:tcPr>
            <w:tcW w:w="1708" w:type="dxa"/>
            <w:tcBorders>
              <w:top w:val="nil"/>
            </w:tcBorders>
            <w:tcMar>
              <w:top w:w="57" w:type="dxa"/>
              <w:bottom w:w="57" w:type="dxa"/>
            </w:tcMar>
          </w:tcPr>
          <w:p w14:paraId="18EB5C31" w14:textId="5143A881" w:rsidR="00BD1CAD" w:rsidRPr="00BD1CAD" w:rsidRDefault="00D565A9" w:rsidP="006E13B3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rFonts w:ascii="Arial" w:hAnsi="Arial" w:cs="Arial"/>
              </w:rPr>
              <w:t>£18.000</w:t>
            </w:r>
          </w:p>
        </w:tc>
      </w:tr>
      <w:tr w:rsidR="00D565A9" w:rsidRPr="00A51C26" w14:paraId="421457F2" w14:textId="77777777" w:rsidTr="00FF2765">
        <w:tc>
          <w:tcPr>
            <w:tcW w:w="9351" w:type="dxa"/>
            <w:tcMar>
              <w:top w:w="57" w:type="dxa"/>
              <w:bottom w:w="57" w:type="dxa"/>
            </w:tcMar>
          </w:tcPr>
          <w:p w14:paraId="0B18C8BA" w14:textId="41D45F30" w:rsidR="00D565A9" w:rsidRDefault="00D565A9" w:rsidP="00D565A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dr w:val="nil"/>
              </w:rPr>
            </w:pPr>
            <w:r>
              <w:rPr>
                <w:rFonts w:ascii="Arial" w:hAnsi="Arial" w:cs="Arial"/>
                <w:bdr w:val="nil"/>
              </w:rPr>
              <w:t>Addition software to improve tables knowledge and for this to be accessed at home</w:t>
            </w:r>
          </w:p>
        </w:tc>
        <w:tc>
          <w:tcPr>
            <w:tcW w:w="6910" w:type="dxa"/>
            <w:tcMar>
              <w:top w:w="57" w:type="dxa"/>
              <w:bottom w:w="57" w:type="dxa"/>
            </w:tcMar>
          </w:tcPr>
          <w:p w14:paraId="50D93101" w14:textId="1CE6A9A5" w:rsidR="00D565A9" w:rsidRPr="00A51C26" w:rsidRDefault="00A35814" w:rsidP="00BD1CA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dr w:val="nil"/>
              </w:rPr>
            </w:pPr>
            <w:r>
              <w:rPr>
                <w:rFonts w:ascii="Arial" w:hAnsi="Arial" w:cs="Arial"/>
                <w:bdr w:val="nil"/>
              </w:rPr>
              <w:t>Year 4 tables assessment and end of year target tracker</w:t>
            </w:r>
          </w:p>
        </w:tc>
        <w:tc>
          <w:tcPr>
            <w:tcW w:w="1708" w:type="dxa"/>
            <w:tcBorders>
              <w:top w:val="nil"/>
            </w:tcBorders>
            <w:tcMar>
              <w:top w:w="57" w:type="dxa"/>
              <w:bottom w:w="57" w:type="dxa"/>
            </w:tcMar>
          </w:tcPr>
          <w:p w14:paraId="3739DE5D" w14:textId="173151D8" w:rsidR="00D565A9" w:rsidRDefault="00A35814" w:rsidP="006E13B3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£400</w:t>
            </w:r>
          </w:p>
        </w:tc>
      </w:tr>
      <w:tr w:rsidR="00BD1CAD" w:rsidRPr="00EB477C" w14:paraId="5E8E33B0" w14:textId="77777777" w:rsidTr="005527C7">
        <w:tc>
          <w:tcPr>
            <w:tcW w:w="0" w:type="auto"/>
            <w:gridSpan w:val="3"/>
            <w:shd w:val="clear" w:color="auto" w:fill="0070C0"/>
            <w:tcMar>
              <w:top w:w="57" w:type="dxa"/>
              <w:bottom w:w="57" w:type="dxa"/>
            </w:tcMar>
          </w:tcPr>
          <w:p w14:paraId="33EB2243" w14:textId="0171DDC7" w:rsidR="00BD1CAD" w:rsidRPr="00EB477C" w:rsidRDefault="00BD1CAD" w:rsidP="00BD1CAD">
            <w:pPr>
              <w:pStyle w:val="NormalWeb"/>
              <w:spacing w:before="120" w:beforeAutospacing="0" w:after="120" w:afterAutospacing="0" w:line="240" w:lineRule="auto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EB477C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lastRenderedPageBreak/>
              <w:t>Supporting parents and carers</w:t>
            </w:r>
          </w:p>
        </w:tc>
      </w:tr>
      <w:tr w:rsidR="00BD1CAD" w:rsidRPr="00A51C26" w14:paraId="4664DE49" w14:textId="77777777" w:rsidTr="00FF2765">
        <w:tc>
          <w:tcPr>
            <w:tcW w:w="9351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32C96D91" w14:textId="0CC18E21" w:rsidR="00BD1CAD" w:rsidRPr="00A51C26" w:rsidRDefault="00BD1CAD" w:rsidP="006F2346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A51C26">
              <w:rPr>
                <w:rFonts w:ascii="Arial" w:hAnsi="Arial" w:cs="Arial"/>
              </w:rPr>
              <w:t>Providing additional boo</w:t>
            </w:r>
            <w:r w:rsidR="006F2346">
              <w:rPr>
                <w:rFonts w:ascii="Arial" w:hAnsi="Arial" w:cs="Arial"/>
              </w:rPr>
              <w:t xml:space="preserve">ks from the Read Write </w:t>
            </w:r>
            <w:proofErr w:type="spellStart"/>
            <w:r w:rsidR="006F2346">
              <w:rPr>
                <w:rFonts w:ascii="Arial" w:hAnsi="Arial" w:cs="Arial"/>
              </w:rPr>
              <w:t>Inc</w:t>
            </w:r>
            <w:proofErr w:type="spellEnd"/>
            <w:r w:rsidR="006F2346">
              <w:rPr>
                <w:rFonts w:ascii="Arial" w:hAnsi="Arial" w:cs="Arial"/>
              </w:rPr>
              <w:t xml:space="preserve"> scheme for children to take home and keep </w:t>
            </w:r>
            <w:r>
              <w:rPr>
                <w:rFonts w:ascii="Arial" w:hAnsi="Arial" w:cs="Arial"/>
              </w:rPr>
              <w:t>(</w:t>
            </w:r>
            <w:r w:rsidR="006F2346">
              <w:rPr>
                <w:rFonts w:ascii="Arial" w:hAnsi="Arial" w:cs="Arial"/>
              </w:rPr>
              <w:t>£1,000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910" w:type="dxa"/>
            <w:tcMar>
              <w:top w:w="57" w:type="dxa"/>
              <w:bottom w:w="57" w:type="dxa"/>
            </w:tcMar>
          </w:tcPr>
          <w:p w14:paraId="572C01C3" w14:textId="77777777" w:rsidR="00BD1CAD" w:rsidRPr="00A51C26" w:rsidRDefault="00BD1CAD" w:rsidP="00BD1CAD">
            <w:pPr>
              <w:pStyle w:val="NormalWeb"/>
              <w:spacing w:before="0" w:beforeAutospacing="0" w:after="0" w:afterAutospacing="0" w:line="240" w:lineRule="auto"/>
              <w:rPr>
                <w:rFonts w:ascii="Arial" w:hAnsi="Arial" w:cs="Arial"/>
                <w:bdr w:val="nil"/>
              </w:rPr>
            </w:pPr>
            <w:r w:rsidRPr="00A51C26">
              <w:rPr>
                <w:rFonts w:ascii="Arial" w:hAnsi="Arial" w:cs="Arial"/>
                <w:bdr w:val="nil"/>
              </w:rPr>
              <w:t xml:space="preserve">Progress </w:t>
            </w:r>
            <w:proofErr w:type="gramStart"/>
            <w:r w:rsidRPr="00A51C26">
              <w:rPr>
                <w:rFonts w:ascii="Arial" w:hAnsi="Arial" w:cs="Arial"/>
                <w:bdr w:val="nil"/>
              </w:rPr>
              <w:t>will be tracked</w:t>
            </w:r>
            <w:proofErr w:type="gramEnd"/>
            <w:r w:rsidRPr="00A51C26">
              <w:rPr>
                <w:rFonts w:ascii="Arial" w:hAnsi="Arial" w:cs="Arial"/>
                <w:bdr w:val="nil"/>
              </w:rPr>
              <w:t xml:space="preserve"> against reading targets set for each year group as outlined above.</w:t>
            </w:r>
          </w:p>
          <w:p w14:paraId="747D221F" w14:textId="0B196D68" w:rsidR="00BD1CAD" w:rsidRPr="00A51C26" w:rsidRDefault="00BD1CAD" w:rsidP="00BD1CAD">
            <w:pPr>
              <w:spacing w:before="0" w:after="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708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7F930647" w14:textId="52C572E9" w:rsidR="00BD1CAD" w:rsidRPr="00A51C26" w:rsidRDefault="006F2346" w:rsidP="00BD1CAD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  <w:bdr w:val="nil"/>
              </w:rPr>
            </w:pPr>
            <w:r>
              <w:rPr>
                <w:rFonts w:ascii="Arial" w:hAnsi="Arial" w:cs="Arial"/>
              </w:rPr>
              <w:t>£1,790</w:t>
            </w:r>
          </w:p>
        </w:tc>
      </w:tr>
      <w:tr w:rsidR="00BD1CAD" w:rsidRPr="0061337C" w14:paraId="7A3FDDAA" w14:textId="77777777" w:rsidTr="00FF2765">
        <w:tc>
          <w:tcPr>
            <w:tcW w:w="9351" w:type="dxa"/>
            <w:tcMar>
              <w:top w:w="57" w:type="dxa"/>
              <w:bottom w:w="57" w:type="dxa"/>
            </w:tcMar>
          </w:tcPr>
          <w:p w14:paraId="2715E7EA" w14:textId="46730552" w:rsidR="00BD1CAD" w:rsidRPr="0061337C" w:rsidRDefault="006F2346" w:rsidP="006F2346">
            <w:pPr>
              <w:pStyle w:val="NormalWeb"/>
              <w:spacing w:before="0" w:beforeAutospacing="0" w:after="0" w:afterAutospacing="0" w:line="240" w:lineRule="auto"/>
              <w:rPr>
                <w:rFonts w:ascii="Arial" w:hAnsi="Arial" w:cs="Arial"/>
                <w:color w:val="7800AF"/>
              </w:rPr>
            </w:pPr>
            <w:r>
              <w:rPr>
                <w:rFonts w:ascii="Arial" w:hAnsi="Arial" w:cs="Arial"/>
              </w:rPr>
              <w:t>Extend subscription to the Purple Mash project to extend opportunities for home learning and enable greater contact with teachers, during isolation (£790)</w:t>
            </w:r>
          </w:p>
        </w:tc>
        <w:tc>
          <w:tcPr>
            <w:tcW w:w="6910" w:type="dxa"/>
            <w:tcMar>
              <w:top w:w="57" w:type="dxa"/>
              <w:bottom w:w="57" w:type="dxa"/>
            </w:tcMar>
          </w:tcPr>
          <w:p w14:paraId="0E6EC67D" w14:textId="2B6E02A6" w:rsidR="00BD1CAD" w:rsidRPr="0061337C" w:rsidRDefault="00BD1CAD" w:rsidP="00BD1CAD">
            <w:pPr>
              <w:pStyle w:val="NormalWeb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  <w:r w:rsidRPr="00A51C26">
              <w:rPr>
                <w:rFonts w:ascii="Arial" w:hAnsi="Arial" w:cs="Arial"/>
                <w:bdr w:val="nil"/>
              </w:rPr>
              <w:t xml:space="preserve">Progress </w:t>
            </w:r>
            <w:proofErr w:type="gramStart"/>
            <w:r w:rsidRPr="00A51C26">
              <w:rPr>
                <w:rFonts w:ascii="Arial" w:hAnsi="Arial" w:cs="Arial"/>
                <w:bdr w:val="nil"/>
              </w:rPr>
              <w:t>will be tracked</w:t>
            </w:r>
            <w:proofErr w:type="gramEnd"/>
            <w:r w:rsidRPr="00A51C26">
              <w:rPr>
                <w:rFonts w:ascii="Arial" w:hAnsi="Arial" w:cs="Arial"/>
                <w:bdr w:val="nil"/>
              </w:rPr>
              <w:t xml:space="preserve"> against all targets set for each year group as outlined above.</w:t>
            </w:r>
          </w:p>
        </w:tc>
        <w:tc>
          <w:tcPr>
            <w:tcW w:w="1708" w:type="dxa"/>
            <w:tcBorders>
              <w:top w:val="nil"/>
            </w:tcBorders>
            <w:tcMar>
              <w:top w:w="57" w:type="dxa"/>
              <w:bottom w:w="57" w:type="dxa"/>
            </w:tcMar>
          </w:tcPr>
          <w:p w14:paraId="4AC17204" w14:textId="58B330ED" w:rsidR="00BD1CAD" w:rsidRPr="0061337C" w:rsidRDefault="00BD1CAD" w:rsidP="00BD1CAD">
            <w:pPr>
              <w:pStyle w:val="NormalWeb"/>
              <w:spacing w:before="0" w:beforeAutospacing="0" w:after="0" w:afterAutospacing="0" w:line="240" w:lineRule="auto"/>
              <w:rPr>
                <w:rFonts w:ascii="Arial" w:hAnsi="Arial" w:cs="Arial"/>
                <w:color w:val="009EFF"/>
                <w:bdr w:val="nil"/>
              </w:rPr>
            </w:pPr>
          </w:p>
        </w:tc>
      </w:tr>
      <w:tr w:rsidR="00BD1CAD" w:rsidRPr="00EB477C" w14:paraId="18A8AF52" w14:textId="77777777" w:rsidTr="005527C7">
        <w:tc>
          <w:tcPr>
            <w:tcW w:w="0" w:type="auto"/>
            <w:gridSpan w:val="3"/>
            <w:shd w:val="clear" w:color="auto" w:fill="0070C0"/>
            <w:tcMar>
              <w:top w:w="57" w:type="dxa"/>
              <w:bottom w:w="57" w:type="dxa"/>
            </w:tcMar>
          </w:tcPr>
          <w:p w14:paraId="6E74FA06" w14:textId="5F0FFA3D" w:rsidR="00BD1CAD" w:rsidRPr="00EB477C" w:rsidRDefault="00BD1CAD" w:rsidP="00BD1CAD">
            <w:pPr>
              <w:pStyle w:val="NormalWeb"/>
              <w:spacing w:before="120" w:beforeAutospacing="0" w:after="120" w:afterAutospacing="0" w:line="240" w:lineRule="auto"/>
              <w:rPr>
                <w:rFonts w:ascii="Arial" w:hAnsi="Arial" w:cs="Arial"/>
                <w:b/>
                <w:bCs/>
                <w:sz w:val="28"/>
                <w:szCs w:val="28"/>
                <w:bdr w:val="nil"/>
              </w:rPr>
            </w:pPr>
            <w:r w:rsidRPr="00EB477C">
              <w:rPr>
                <w:rFonts w:ascii="Arial" w:hAnsi="Arial" w:cs="Arial"/>
                <w:b/>
                <w:bCs/>
                <w:sz w:val="28"/>
                <w:szCs w:val="28"/>
                <w:bdr w:val="nil"/>
              </w:rPr>
              <w:t>Additional pastoral support</w:t>
            </w:r>
          </w:p>
        </w:tc>
      </w:tr>
      <w:tr w:rsidR="00BD1CAD" w:rsidRPr="00A51C26" w14:paraId="25E3E40E" w14:textId="77777777" w:rsidTr="00FF2765">
        <w:tc>
          <w:tcPr>
            <w:tcW w:w="9351" w:type="dxa"/>
            <w:tcMar>
              <w:top w:w="57" w:type="dxa"/>
              <w:bottom w:w="57" w:type="dxa"/>
            </w:tcMar>
          </w:tcPr>
          <w:p w14:paraId="65458640" w14:textId="626EEB8B" w:rsidR="00BD1CAD" w:rsidRPr="00A51C26" w:rsidRDefault="00BD1CAD" w:rsidP="00BD1CAD">
            <w:pPr>
              <w:pStyle w:val="NormalWeb"/>
              <w:spacing w:before="0" w:beforeAutospacing="0" w:after="0" w:afterAutospacing="0" w:line="240" w:lineRule="auto"/>
              <w:rPr>
                <w:rFonts w:ascii="Arial" w:hAnsi="Arial" w:cs="Arial"/>
                <w:bdr w:val="nil"/>
              </w:rPr>
            </w:pPr>
            <w:r w:rsidRPr="00A51C26">
              <w:rPr>
                <w:rFonts w:ascii="Arial" w:hAnsi="Arial" w:cs="Arial"/>
                <w:color w:val="1C1C19"/>
              </w:rPr>
              <w:t>Interventions focusing on other aspects of learning, such as behaviour or pupils’ social and emotional needs,</w:t>
            </w:r>
            <w:r w:rsidRPr="00A51C26">
              <w:rPr>
                <w:rFonts w:ascii="Arial" w:hAnsi="Arial" w:cs="Arial"/>
              </w:rPr>
              <w:t xml:space="preserve"> supporting them in the self-regulation of their behaviour.</w:t>
            </w:r>
            <w:r w:rsidR="00A83CDF">
              <w:rPr>
                <w:rFonts w:ascii="Arial" w:hAnsi="Arial" w:cs="Arial"/>
              </w:rPr>
              <w:t xml:space="preserve"> Use of school FLOs and Play Therapist (if needed)</w:t>
            </w:r>
          </w:p>
        </w:tc>
        <w:tc>
          <w:tcPr>
            <w:tcW w:w="6910" w:type="dxa"/>
            <w:tcMar>
              <w:top w:w="57" w:type="dxa"/>
              <w:bottom w:w="57" w:type="dxa"/>
            </w:tcMar>
          </w:tcPr>
          <w:p w14:paraId="373C36FE" w14:textId="59201EF0" w:rsidR="00BD1CAD" w:rsidRPr="00A51C26" w:rsidRDefault="00BD1CAD" w:rsidP="00BD1CAD">
            <w:pPr>
              <w:pStyle w:val="NormalWeb"/>
              <w:spacing w:before="0" w:beforeAutospacing="0" w:after="0" w:afterAutospacing="0" w:line="240" w:lineRule="auto"/>
              <w:rPr>
                <w:rFonts w:ascii="Arial" w:hAnsi="Arial" w:cs="Arial"/>
              </w:rPr>
            </w:pPr>
            <w:r w:rsidRPr="00A51C26">
              <w:rPr>
                <w:rFonts w:ascii="Arial" w:hAnsi="Arial" w:cs="Arial"/>
                <w:bdr w:val="nil"/>
              </w:rPr>
              <w:t>Progress will be tracked against all targets set for each year group as outlined above</w:t>
            </w:r>
          </w:p>
        </w:tc>
        <w:tc>
          <w:tcPr>
            <w:tcW w:w="1708" w:type="dxa"/>
            <w:tcMar>
              <w:top w:w="57" w:type="dxa"/>
              <w:bottom w:w="57" w:type="dxa"/>
            </w:tcMar>
          </w:tcPr>
          <w:p w14:paraId="1C167DC6" w14:textId="1C2DC872" w:rsidR="00BD1CAD" w:rsidRPr="00A51C26" w:rsidRDefault="00BD1CAD" w:rsidP="00BD1CAD">
            <w:pPr>
              <w:pStyle w:val="NormalWeb"/>
              <w:spacing w:before="0" w:beforeAutospacing="0" w:after="0" w:afterAutospacing="0" w:line="240" w:lineRule="auto"/>
              <w:jc w:val="right"/>
              <w:rPr>
                <w:rFonts w:ascii="Arial" w:hAnsi="Arial" w:cs="Arial"/>
                <w:bdr w:val="nil"/>
              </w:rPr>
            </w:pPr>
            <w:r w:rsidRPr="0061337C">
              <w:rPr>
                <w:rFonts w:ascii="Arial" w:hAnsi="Arial" w:cs="Arial"/>
              </w:rPr>
              <w:t xml:space="preserve"> £</w:t>
            </w:r>
            <w:r w:rsidR="00A83CDF">
              <w:rPr>
                <w:rFonts w:ascii="Arial" w:hAnsi="Arial" w:cs="Arial"/>
              </w:rPr>
              <w:t>1,500</w:t>
            </w:r>
          </w:p>
        </w:tc>
      </w:tr>
      <w:tr w:rsidR="00A83CDF" w:rsidRPr="00A51C26" w14:paraId="262A57F6" w14:textId="77777777" w:rsidTr="00FF2765">
        <w:tc>
          <w:tcPr>
            <w:tcW w:w="9351" w:type="dxa"/>
            <w:tcMar>
              <w:top w:w="57" w:type="dxa"/>
              <w:bottom w:w="57" w:type="dxa"/>
            </w:tcMar>
          </w:tcPr>
          <w:p w14:paraId="68538074" w14:textId="77777777" w:rsidR="00A83CDF" w:rsidRPr="00A51C26" w:rsidRDefault="00A83CDF" w:rsidP="00BD1CA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C1C19"/>
              </w:rPr>
            </w:pPr>
          </w:p>
        </w:tc>
        <w:tc>
          <w:tcPr>
            <w:tcW w:w="6910" w:type="dxa"/>
            <w:tcMar>
              <w:top w:w="57" w:type="dxa"/>
              <w:bottom w:w="57" w:type="dxa"/>
            </w:tcMar>
          </w:tcPr>
          <w:p w14:paraId="6673CF29" w14:textId="51D50141" w:rsidR="00A83CDF" w:rsidRPr="00A51C26" w:rsidRDefault="00A83CDF" w:rsidP="00BD1CA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dr w:val="nil"/>
              </w:rPr>
            </w:pPr>
            <w:r>
              <w:rPr>
                <w:rFonts w:ascii="Arial" w:hAnsi="Arial" w:cs="Arial"/>
                <w:bdr w:val="nil"/>
              </w:rPr>
              <w:t>TOTAL</w:t>
            </w:r>
          </w:p>
        </w:tc>
        <w:tc>
          <w:tcPr>
            <w:tcW w:w="1708" w:type="dxa"/>
            <w:tcMar>
              <w:top w:w="57" w:type="dxa"/>
              <w:bottom w:w="57" w:type="dxa"/>
            </w:tcMar>
          </w:tcPr>
          <w:p w14:paraId="03DF3CC1" w14:textId="41B20016" w:rsidR="00A83CDF" w:rsidRPr="0061337C" w:rsidRDefault="00A83CDF" w:rsidP="00BD1CAD">
            <w:pPr>
              <w:pStyle w:val="NormalWeb"/>
              <w:spacing w:before="0" w:beforeAutospacing="0" w:after="0" w:afterAutospacing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£31,860</w:t>
            </w:r>
          </w:p>
        </w:tc>
      </w:tr>
    </w:tbl>
    <w:p w14:paraId="7519F71C" w14:textId="77777777" w:rsidR="00FF2765" w:rsidRDefault="00FF2765" w:rsidP="0056561F">
      <w:pPr>
        <w:pStyle w:val="Body"/>
        <w:rPr>
          <w:rFonts w:ascii="Arial" w:hAnsi="Arial" w:cs="Arial"/>
          <w:b/>
          <w:bCs/>
          <w:color w:val="7800AF"/>
          <w:sz w:val="36"/>
          <w:szCs w:val="36"/>
        </w:rPr>
      </w:pPr>
    </w:p>
    <w:p w14:paraId="31119C05" w14:textId="326AE0A7" w:rsidR="008D0D4D" w:rsidRPr="008D0D4D" w:rsidRDefault="008D0D4D" w:rsidP="0061337C">
      <w:pPr>
        <w:rPr>
          <w:rFonts w:ascii="Arial" w:hAnsi="Arial" w:cs="Arial"/>
          <w:color w:val="78A2B6"/>
        </w:rPr>
      </w:pPr>
      <w:bookmarkStart w:id="1" w:name="Page_5"/>
      <w:bookmarkEnd w:id="1"/>
    </w:p>
    <w:sectPr w:rsidR="008D0D4D" w:rsidRPr="008D0D4D" w:rsidSect="00FF2765">
      <w:headerReference w:type="default" r:id="rId8"/>
      <w:pgSz w:w="20477" w:h="15365" w:orient="landscape"/>
      <w:pgMar w:top="1080" w:right="1080" w:bottom="993" w:left="1418" w:header="360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6BB75" w14:textId="77777777" w:rsidR="00963429" w:rsidRDefault="00963429">
      <w:r>
        <w:separator/>
      </w:r>
    </w:p>
  </w:endnote>
  <w:endnote w:type="continuationSeparator" w:id="0">
    <w:p w14:paraId="76F7BB41" w14:textId="77777777" w:rsidR="00963429" w:rsidRDefault="0096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Regular">
    <w:altName w:val="Calibri"/>
    <w:charset w:val="00"/>
    <w:family w:val="swiss"/>
    <w:pitch w:val="variable"/>
    <w:sig w:usb0="8000002F" w:usb1="5000204A" w:usb2="00000000" w:usb3="00000000" w:csb0="0000009B" w:csb1="00000000"/>
  </w:font>
  <w:font w:name="Rockwell Bold">
    <w:altName w:val="Rockwell"/>
    <w:panose1 w:val="02060803030505020403"/>
    <w:charset w:val="00"/>
    <w:family w:val="roman"/>
    <w:pitch w:val="default"/>
  </w:font>
  <w:font w:name="Avenir Next Medium">
    <w:altName w:val="Avenir Next Medium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37B6A" w14:textId="77777777" w:rsidR="00963429" w:rsidRDefault="00963429">
      <w:r>
        <w:separator/>
      </w:r>
    </w:p>
  </w:footnote>
  <w:footnote w:type="continuationSeparator" w:id="0">
    <w:p w14:paraId="7D8E71BC" w14:textId="77777777" w:rsidR="00963429" w:rsidRDefault="00963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B375A" w14:textId="77777777" w:rsidR="00963429" w:rsidRDefault="009634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0FDD"/>
    <w:multiLevelType w:val="hybridMultilevel"/>
    <w:tmpl w:val="FBD26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106CA"/>
    <w:multiLevelType w:val="hybridMultilevel"/>
    <w:tmpl w:val="33663E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22073"/>
    <w:multiLevelType w:val="hybridMultilevel"/>
    <w:tmpl w:val="34B21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82BFF"/>
    <w:multiLevelType w:val="hybridMultilevel"/>
    <w:tmpl w:val="33663E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060C6"/>
    <w:multiLevelType w:val="hybridMultilevel"/>
    <w:tmpl w:val="4AA62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0769E"/>
    <w:multiLevelType w:val="hybridMultilevel"/>
    <w:tmpl w:val="CB340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E4"/>
    <w:rsid w:val="00063832"/>
    <w:rsid w:val="00066AD3"/>
    <w:rsid w:val="000A4F09"/>
    <w:rsid w:val="000B3D0F"/>
    <w:rsid w:val="000D7ABB"/>
    <w:rsid w:val="000F24FA"/>
    <w:rsid w:val="00101437"/>
    <w:rsid w:val="001308E4"/>
    <w:rsid w:val="00183D67"/>
    <w:rsid w:val="001A68A9"/>
    <w:rsid w:val="001B794F"/>
    <w:rsid w:val="00204C54"/>
    <w:rsid w:val="00210B58"/>
    <w:rsid w:val="0028321F"/>
    <w:rsid w:val="00284A41"/>
    <w:rsid w:val="002B3AF2"/>
    <w:rsid w:val="002D6085"/>
    <w:rsid w:val="003134DA"/>
    <w:rsid w:val="0033395F"/>
    <w:rsid w:val="00380C0C"/>
    <w:rsid w:val="00391C5B"/>
    <w:rsid w:val="003C6EF2"/>
    <w:rsid w:val="003D7AD1"/>
    <w:rsid w:val="003F385E"/>
    <w:rsid w:val="003F758B"/>
    <w:rsid w:val="0044016A"/>
    <w:rsid w:val="0046311A"/>
    <w:rsid w:val="004B2623"/>
    <w:rsid w:val="004D746E"/>
    <w:rsid w:val="00504A60"/>
    <w:rsid w:val="005527C7"/>
    <w:rsid w:val="0056561F"/>
    <w:rsid w:val="0059441A"/>
    <w:rsid w:val="005962EF"/>
    <w:rsid w:val="005A2751"/>
    <w:rsid w:val="005B0EC2"/>
    <w:rsid w:val="005B61F7"/>
    <w:rsid w:val="005B7B60"/>
    <w:rsid w:val="006071F3"/>
    <w:rsid w:val="0061337C"/>
    <w:rsid w:val="00620D9B"/>
    <w:rsid w:val="00621E5E"/>
    <w:rsid w:val="00640B7C"/>
    <w:rsid w:val="006455DF"/>
    <w:rsid w:val="006961C8"/>
    <w:rsid w:val="006E13B3"/>
    <w:rsid w:val="006E6106"/>
    <w:rsid w:val="006F2346"/>
    <w:rsid w:val="006F6D82"/>
    <w:rsid w:val="00737316"/>
    <w:rsid w:val="00775EF1"/>
    <w:rsid w:val="00780252"/>
    <w:rsid w:val="00824863"/>
    <w:rsid w:val="0084280C"/>
    <w:rsid w:val="00856EAD"/>
    <w:rsid w:val="008931F2"/>
    <w:rsid w:val="008D0D4D"/>
    <w:rsid w:val="00904C74"/>
    <w:rsid w:val="00931B42"/>
    <w:rsid w:val="00963429"/>
    <w:rsid w:val="0097684E"/>
    <w:rsid w:val="00992979"/>
    <w:rsid w:val="009D10F0"/>
    <w:rsid w:val="009D2A9A"/>
    <w:rsid w:val="00A03629"/>
    <w:rsid w:val="00A3413C"/>
    <w:rsid w:val="00A35814"/>
    <w:rsid w:val="00A51C26"/>
    <w:rsid w:val="00A57976"/>
    <w:rsid w:val="00A65C4F"/>
    <w:rsid w:val="00A742A8"/>
    <w:rsid w:val="00A74F28"/>
    <w:rsid w:val="00A83CDF"/>
    <w:rsid w:val="00AE52DD"/>
    <w:rsid w:val="00AF2547"/>
    <w:rsid w:val="00AF54D5"/>
    <w:rsid w:val="00B23220"/>
    <w:rsid w:val="00B421C2"/>
    <w:rsid w:val="00BB0F0F"/>
    <w:rsid w:val="00BD1CAD"/>
    <w:rsid w:val="00BE2B8D"/>
    <w:rsid w:val="00BF2BF4"/>
    <w:rsid w:val="00BF3BD4"/>
    <w:rsid w:val="00C34A8D"/>
    <w:rsid w:val="00C956CD"/>
    <w:rsid w:val="00CB3BF3"/>
    <w:rsid w:val="00CB6EF4"/>
    <w:rsid w:val="00CD61ED"/>
    <w:rsid w:val="00D05699"/>
    <w:rsid w:val="00D1259A"/>
    <w:rsid w:val="00D14CA6"/>
    <w:rsid w:val="00D5538E"/>
    <w:rsid w:val="00D565A9"/>
    <w:rsid w:val="00DB1689"/>
    <w:rsid w:val="00DB7702"/>
    <w:rsid w:val="00DE3D23"/>
    <w:rsid w:val="00E05A6B"/>
    <w:rsid w:val="00E13B7F"/>
    <w:rsid w:val="00E22D2B"/>
    <w:rsid w:val="00E402F3"/>
    <w:rsid w:val="00E40E2B"/>
    <w:rsid w:val="00EA0CBE"/>
    <w:rsid w:val="00EA6BEC"/>
    <w:rsid w:val="00EB477C"/>
    <w:rsid w:val="00EB7366"/>
    <w:rsid w:val="00F35740"/>
    <w:rsid w:val="00F423C3"/>
    <w:rsid w:val="00F442EC"/>
    <w:rsid w:val="00F81DD9"/>
    <w:rsid w:val="00F94E96"/>
    <w:rsid w:val="00FC42F9"/>
    <w:rsid w:val="00FC6EC8"/>
    <w:rsid w:val="00FE1B11"/>
    <w:rsid w:val="00FF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2A8601"/>
  <w15:docId w15:val="{CA101B4D-1C71-3547-8BE1-70A02533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after="400" w:line="264" w:lineRule="auto"/>
    </w:pPr>
    <w:rPr>
      <w:rFonts w:ascii="Avenir Next Regular" w:hAnsi="Avenir Next Regular" w:cs="Arial Unicode MS"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Subtitle"/>
    <w:uiPriority w:val="10"/>
    <w:qFormat/>
    <w:pPr>
      <w:keepNext/>
      <w:spacing w:line="216" w:lineRule="auto"/>
      <w:jc w:val="center"/>
    </w:pPr>
    <w:rPr>
      <w:rFonts w:ascii="Rockwell Bold" w:hAnsi="Rockwell Bold" w:cs="Arial Unicode MS"/>
      <w:color w:val="236794"/>
      <w:spacing w:val="-14"/>
      <w:sz w:val="140"/>
      <w:szCs w:val="14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next w:val="Body"/>
    <w:uiPriority w:val="11"/>
    <w:qFormat/>
    <w:pPr>
      <w:keepNext/>
      <w:pBdr>
        <w:bottom w:val="single" w:sz="32" w:space="21" w:color="5E5E5E"/>
      </w:pBdr>
      <w:spacing w:line="216" w:lineRule="auto"/>
      <w:jc w:val="center"/>
    </w:pPr>
    <w:rPr>
      <w:rFonts w:ascii="Avenir Next Regular" w:hAnsi="Avenir Next Regular" w:cs="Arial Unicode MS"/>
      <w:b/>
      <w:bCs/>
      <w:caps/>
      <w:color w:val="5E5E5E"/>
      <w:spacing w:val="75"/>
      <w:sz w:val="50"/>
      <w:szCs w:val="5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Chapter">
    <w:name w:val="Chapter"/>
    <w:next w:val="ChapterSubtitle"/>
    <w:pPr>
      <w:keepNext/>
      <w:outlineLvl w:val="0"/>
    </w:pPr>
    <w:rPr>
      <w:rFonts w:ascii="Rockwell Bold" w:hAnsi="Rockwell Bold" w:cs="Arial Unicode MS"/>
      <w:color w:val="236794"/>
      <w:spacing w:val="-8"/>
      <w:sz w:val="88"/>
      <w:szCs w:val="88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ChapterSubtitle">
    <w:name w:val="Chapter Subtitle"/>
    <w:next w:val="Body"/>
    <w:pPr>
      <w:keepNext/>
      <w:pBdr>
        <w:bottom w:val="single" w:sz="32" w:space="3" w:color="5E5E5E"/>
      </w:pBdr>
      <w:spacing w:line="216" w:lineRule="auto"/>
    </w:pPr>
    <w:rPr>
      <w:rFonts w:ascii="Avenir Next Medium" w:hAnsi="Avenir Next Medium" w:cs="Arial Unicode MS"/>
      <w:caps/>
      <w:color w:val="5E5E5E"/>
      <w:spacing w:val="51"/>
      <w:sz w:val="34"/>
      <w:szCs w:val="3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Caption">
    <w:name w:val="caption"/>
    <w:pPr>
      <w:tabs>
        <w:tab w:val="left" w:pos="1150"/>
      </w:tabs>
    </w:pPr>
    <w:rPr>
      <w:rFonts w:ascii="Avenir Next Regular" w:hAnsi="Avenir Next Regular" w:cs="Arial Unicode MS"/>
      <w:i/>
      <w:iCs/>
      <w:color w:val="000000"/>
      <w:sz w:val="26"/>
      <w:szCs w:val="26"/>
      <w:lang w:val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Heading">
    <w:name w:val="Heading"/>
    <w:next w:val="Body"/>
    <w:pPr>
      <w:spacing w:after="560"/>
      <w:outlineLvl w:val="0"/>
    </w:pPr>
    <w:rPr>
      <w:rFonts w:ascii="Avenir Next Regular" w:hAnsi="Avenir Next Regular" w:cs="Arial Unicode MS"/>
      <w:b/>
      <w:bCs/>
      <w:color w:val="236794"/>
      <w:sz w:val="34"/>
      <w:szCs w:val="34"/>
      <w:lang w:val="en-US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59"/>
    <w:rsid w:val="00284A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200" w:line="276" w:lineRule="auto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4A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  <w:bdr w:val="none" w:sz="0" w:space="0" w:color="auto"/>
      <w:lang w:val="en-GB"/>
    </w:rPr>
  </w:style>
  <w:style w:type="paragraph" w:styleId="NormalWeb">
    <w:name w:val="Normal (Web)"/>
    <w:basedOn w:val="Normal"/>
    <w:uiPriority w:val="99"/>
    <w:unhideWhenUsed/>
    <w:rsid w:val="00284A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table" w:styleId="TableGridLight">
    <w:name w:val="Grid Table Light"/>
    <w:basedOn w:val="TableNormal"/>
    <w:uiPriority w:val="40"/>
    <w:rsid w:val="00620D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620D9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20D9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20D9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20D9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20D9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620D9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20D9B"/>
    <w:tblPr>
      <w:tblStyleRowBandSize w:val="1"/>
      <w:tblStyleColBandSize w:val="1"/>
      <w:tblBorders>
        <w:top w:val="single" w:sz="4" w:space="0" w:color="CEE2E9" w:themeColor="accent1" w:themeTint="66"/>
        <w:left w:val="single" w:sz="4" w:space="0" w:color="CEE2E9" w:themeColor="accent1" w:themeTint="66"/>
        <w:bottom w:val="single" w:sz="4" w:space="0" w:color="CEE2E9" w:themeColor="accent1" w:themeTint="66"/>
        <w:right w:val="single" w:sz="4" w:space="0" w:color="CEE2E9" w:themeColor="accent1" w:themeTint="66"/>
        <w:insideH w:val="single" w:sz="4" w:space="0" w:color="CEE2E9" w:themeColor="accent1" w:themeTint="66"/>
        <w:insideV w:val="single" w:sz="4" w:space="0" w:color="CEE2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5D5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D5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20D9B"/>
    <w:tblPr>
      <w:tblStyleRowBandSize w:val="1"/>
      <w:tblStyleColBandSize w:val="1"/>
      <w:tblBorders>
        <w:top w:val="single" w:sz="4" w:space="0" w:color="FEECA8" w:themeColor="accent3" w:themeTint="66"/>
        <w:left w:val="single" w:sz="4" w:space="0" w:color="FEECA8" w:themeColor="accent3" w:themeTint="66"/>
        <w:bottom w:val="single" w:sz="4" w:space="0" w:color="FEECA8" w:themeColor="accent3" w:themeTint="66"/>
        <w:right w:val="single" w:sz="4" w:space="0" w:color="FEECA8" w:themeColor="accent3" w:themeTint="66"/>
        <w:insideH w:val="single" w:sz="4" w:space="0" w:color="FEECA8" w:themeColor="accent3" w:themeTint="66"/>
        <w:insideV w:val="single" w:sz="4" w:space="0" w:color="FEECA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EE37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E37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620D9B"/>
    <w:tblPr>
      <w:tblStyleRowBandSize w:val="1"/>
      <w:tblStyleColBandSize w:val="1"/>
      <w:tblBorders>
        <w:top w:val="single" w:sz="2" w:space="0" w:color="F0ADA5" w:themeColor="accent5" w:themeTint="99"/>
        <w:bottom w:val="single" w:sz="2" w:space="0" w:color="F0ADA5" w:themeColor="accent5" w:themeTint="99"/>
        <w:insideH w:val="single" w:sz="2" w:space="0" w:color="F0ADA5" w:themeColor="accent5" w:themeTint="99"/>
        <w:insideV w:val="single" w:sz="2" w:space="0" w:color="F0ADA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DA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DA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3E1" w:themeFill="accent5" w:themeFillTint="33"/>
      </w:tcPr>
    </w:tblStylePr>
    <w:tblStylePr w:type="band1Horz">
      <w:tblPr/>
      <w:tcPr>
        <w:shd w:val="clear" w:color="auto" w:fill="FAE3E1" w:themeFill="accent5" w:themeFillTint="33"/>
      </w:tcPr>
    </w:tblStylePr>
  </w:style>
  <w:style w:type="table" w:styleId="GridTable2-Accent4">
    <w:name w:val="Grid Table 2 Accent 4"/>
    <w:basedOn w:val="TableNormal"/>
    <w:uiPriority w:val="47"/>
    <w:rsid w:val="00620D9B"/>
    <w:tblPr>
      <w:tblStyleRowBandSize w:val="1"/>
      <w:tblStyleColBandSize w:val="1"/>
      <w:tblBorders>
        <w:top w:val="single" w:sz="2" w:space="0" w:color="F7C694" w:themeColor="accent4" w:themeTint="99"/>
        <w:bottom w:val="single" w:sz="2" w:space="0" w:color="F7C694" w:themeColor="accent4" w:themeTint="99"/>
        <w:insideH w:val="single" w:sz="2" w:space="0" w:color="F7C694" w:themeColor="accent4" w:themeTint="99"/>
        <w:insideV w:val="single" w:sz="2" w:space="0" w:color="F7C69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69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69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B" w:themeFill="accent4" w:themeFillTint="33"/>
      </w:tcPr>
    </w:tblStylePr>
    <w:tblStylePr w:type="band1Horz">
      <w:tblPr/>
      <w:tcPr>
        <w:shd w:val="clear" w:color="auto" w:fill="FCECDB" w:themeFill="accent4" w:themeFillTint="33"/>
      </w:tcPr>
    </w:tblStylePr>
  </w:style>
  <w:style w:type="table" w:styleId="GridTable2-Accent3">
    <w:name w:val="Grid Table 2 Accent 3"/>
    <w:basedOn w:val="TableNormal"/>
    <w:uiPriority w:val="47"/>
    <w:rsid w:val="00620D9B"/>
    <w:tblPr>
      <w:tblStyleRowBandSize w:val="1"/>
      <w:tblStyleColBandSize w:val="1"/>
      <w:tblBorders>
        <w:top w:val="single" w:sz="2" w:space="0" w:color="FEE37D" w:themeColor="accent3" w:themeTint="99"/>
        <w:bottom w:val="single" w:sz="2" w:space="0" w:color="FEE37D" w:themeColor="accent3" w:themeTint="99"/>
        <w:insideH w:val="single" w:sz="2" w:space="0" w:color="FEE37D" w:themeColor="accent3" w:themeTint="99"/>
        <w:insideV w:val="single" w:sz="2" w:space="0" w:color="FEE37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E37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E37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D3" w:themeFill="accent3" w:themeFillTint="33"/>
      </w:tcPr>
    </w:tblStylePr>
    <w:tblStylePr w:type="band1Horz">
      <w:tblPr/>
      <w:tcPr>
        <w:shd w:val="clear" w:color="auto" w:fill="FEF5D3" w:themeFill="accent3" w:themeFillTint="33"/>
      </w:tcPr>
    </w:tblStylePr>
  </w:style>
  <w:style w:type="table" w:styleId="GridTable2-Accent2">
    <w:name w:val="Grid Table 2 Accent 2"/>
    <w:basedOn w:val="TableNormal"/>
    <w:uiPriority w:val="47"/>
    <w:rsid w:val="00620D9B"/>
    <w:tblPr>
      <w:tblStyleRowBandSize w:val="1"/>
      <w:tblStyleColBandSize w:val="1"/>
      <w:tblBorders>
        <w:top w:val="single" w:sz="2" w:space="0" w:color="BECFA7" w:themeColor="accent2" w:themeTint="99"/>
        <w:bottom w:val="single" w:sz="2" w:space="0" w:color="BECFA7" w:themeColor="accent2" w:themeTint="99"/>
        <w:insideH w:val="single" w:sz="2" w:space="0" w:color="BECFA7" w:themeColor="accent2" w:themeTint="99"/>
        <w:insideV w:val="single" w:sz="2" w:space="0" w:color="BECFA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FA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FA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E1" w:themeFill="accent2" w:themeFillTint="33"/>
      </w:tcPr>
    </w:tblStylePr>
    <w:tblStylePr w:type="band1Horz">
      <w:tblPr/>
      <w:tcPr>
        <w:shd w:val="clear" w:color="auto" w:fill="E9EFE1" w:themeFill="accent2" w:themeFillTint="33"/>
      </w:tcPr>
    </w:tblStylePr>
  </w:style>
  <w:style w:type="table" w:styleId="GridTable2-Accent1">
    <w:name w:val="Grid Table 2 Accent 1"/>
    <w:basedOn w:val="TableNormal"/>
    <w:uiPriority w:val="47"/>
    <w:rsid w:val="00620D9B"/>
    <w:tblPr>
      <w:tblStyleRowBandSize w:val="1"/>
      <w:tblStyleColBandSize w:val="1"/>
      <w:tblBorders>
        <w:top w:val="single" w:sz="2" w:space="0" w:color="B5D5DE" w:themeColor="accent1" w:themeTint="99"/>
        <w:bottom w:val="single" w:sz="2" w:space="0" w:color="B5D5DE" w:themeColor="accent1" w:themeTint="99"/>
        <w:insideH w:val="single" w:sz="2" w:space="0" w:color="B5D5DE" w:themeColor="accent1" w:themeTint="99"/>
        <w:insideV w:val="single" w:sz="2" w:space="0" w:color="B5D5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D5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D5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0F4" w:themeFill="accent1" w:themeFillTint="33"/>
      </w:tcPr>
    </w:tblStylePr>
    <w:tblStylePr w:type="band1Horz">
      <w:tblPr/>
      <w:tcPr>
        <w:shd w:val="clear" w:color="auto" w:fill="E6F0F4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E1B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B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B1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B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B11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B1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B11"/>
    <w:rPr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94E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E9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94E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E96"/>
    <w:rPr>
      <w:sz w:val="24"/>
      <w:szCs w:val="24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3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02B_Report_Landscape">
  <a:themeElements>
    <a:clrScheme name="02B_Report_Landscape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B_Report_Landscape">
      <a:majorFont>
        <a:latin typeface="Rockwell Bold"/>
        <a:ea typeface="Rockwell Bold"/>
        <a:cs typeface="Rockwell Bold"/>
      </a:majorFont>
      <a:minorFont>
        <a:latin typeface="Avenir Next Regular"/>
        <a:ea typeface="Avenir Next Regular"/>
        <a:cs typeface="Avenir Next Regular"/>
      </a:minorFont>
    </a:fontScheme>
    <a:fmtScheme name="02B_Report_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2000"/>
          </a:spcBef>
          <a:spcAft>
            <a:spcPts val="0"/>
          </a:spcAft>
          <a:buClrTx/>
          <a:buSzTx/>
          <a:buFontTx/>
          <a:buNone/>
          <a:tabLst/>
          <a:defRPr kumimoji="0" sz="16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N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8F2B21D-F1D2-4D91-B59E-30C4136A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Dickson, Matt - TEP</dc:creator>
  <cp:lastModifiedBy>S.Parsons</cp:lastModifiedBy>
  <cp:revision>2</cp:revision>
  <dcterms:created xsi:type="dcterms:W3CDTF">2021-01-20T09:15:00Z</dcterms:created>
  <dcterms:modified xsi:type="dcterms:W3CDTF">2021-01-20T09:15:00Z</dcterms:modified>
</cp:coreProperties>
</file>