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62" w:rsidRDefault="0083657D" w:rsidP="00084878">
      <w:pPr>
        <w:jc w:val="center"/>
        <w:rPr>
          <w:b/>
          <w:sz w:val="28"/>
          <w:szCs w:val="28"/>
          <w:u w:val="single"/>
        </w:rPr>
      </w:pPr>
      <w:r w:rsidRPr="00084878">
        <w:rPr>
          <w:b/>
          <w:sz w:val="28"/>
          <w:szCs w:val="28"/>
          <w:u w:val="single"/>
        </w:rPr>
        <w:t>Pupil Premium</w:t>
      </w:r>
      <w:r w:rsidR="002A64E1">
        <w:rPr>
          <w:b/>
          <w:sz w:val="28"/>
          <w:szCs w:val="28"/>
          <w:u w:val="single"/>
        </w:rPr>
        <w:t xml:space="preserve"> Strategy</w:t>
      </w:r>
    </w:p>
    <w:p w:rsidR="00084878" w:rsidRPr="00084878" w:rsidRDefault="00084878" w:rsidP="00084878">
      <w:pPr>
        <w:jc w:val="center"/>
        <w:rPr>
          <w:b/>
          <w:sz w:val="28"/>
          <w:szCs w:val="28"/>
          <w:u w:val="single"/>
        </w:rPr>
      </w:pPr>
    </w:p>
    <w:p w:rsidR="0083657D" w:rsidRDefault="0083657D">
      <w:r>
        <w:t>Pupil Premium is additional funding made available by the government. This money is used to support children who may need additional support with their learning.</w:t>
      </w:r>
      <w:r w:rsidR="00084878">
        <w:t xml:space="preserve">  For each school the amount of money allocated will vary depending on the individual needs of the pupils.</w:t>
      </w:r>
    </w:p>
    <w:p w:rsidR="00190214" w:rsidRDefault="00190214">
      <w:r>
        <w:t>The school has a substantially higher than average number of pupils in receipt of Pupil Premium funding and currently this is over half of the schools population. The average for Kent is 24.5% of pupils for our school the current figure is 56.6% of pupils, in some year groups this is considerably higher</w:t>
      </w:r>
      <w:r w:rsidR="0037152C">
        <w:t xml:space="preserve"> (75% in Year 6)</w:t>
      </w:r>
      <w:r>
        <w:t>.</w:t>
      </w:r>
    </w:p>
    <w:p w:rsidR="002A64E1" w:rsidRDefault="002A64E1">
      <w:r>
        <w:t xml:space="preserve">The school has successfully continued to narrow the gap between children who are funded by the pupil premium and all other children. </w:t>
      </w:r>
      <w:r w:rsidR="00D35645">
        <w:t>This is particularly successful in Key Stage 2 and Year 1 phonics.</w:t>
      </w:r>
      <w:r w:rsidR="00C0319C">
        <w:t xml:space="preserve"> Children who are in receipt of pupil premium funding, and who do not have any additional needs, are amongst our highest achievers.</w:t>
      </w:r>
    </w:p>
    <w:p w:rsidR="002A64E1" w:rsidRPr="002A64E1" w:rsidRDefault="002A64E1">
      <w:pPr>
        <w:rPr>
          <w:b/>
          <w:sz w:val="28"/>
          <w:szCs w:val="28"/>
          <w:u w:val="single"/>
        </w:rPr>
      </w:pPr>
    </w:p>
    <w:p w:rsidR="002A64E1" w:rsidRPr="002A64E1" w:rsidRDefault="002F1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C0319C">
        <w:rPr>
          <w:b/>
          <w:sz w:val="28"/>
          <w:szCs w:val="28"/>
          <w:u w:val="single"/>
        </w:rPr>
        <w:t>– 2</w:t>
      </w:r>
      <w:r>
        <w:rPr>
          <w:b/>
          <w:sz w:val="28"/>
          <w:szCs w:val="28"/>
          <w:u w:val="single"/>
        </w:rPr>
        <w:t>020</w:t>
      </w:r>
    </w:p>
    <w:p w:rsidR="002A64E1" w:rsidRDefault="002A64E1">
      <w:r>
        <w:t xml:space="preserve">For this academic year the school has received a total of </w:t>
      </w:r>
      <w:r w:rsidR="00607563">
        <w:rPr>
          <w:b/>
          <w:u w:val="single"/>
        </w:rPr>
        <w:t>£2</w:t>
      </w:r>
      <w:r w:rsidR="002F144A">
        <w:rPr>
          <w:b/>
          <w:u w:val="single"/>
        </w:rPr>
        <w:t>37,600</w:t>
      </w:r>
      <w:r>
        <w:t xml:space="preserve"> in Pupil Premium funding. We are continuing with many of our successful strategies from the last year and are spending the money in the following way:-</w:t>
      </w:r>
    </w:p>
    <w:p w:rsidR="00A904BF" w:rsidRDefault="002F144A" w:rsidP="00A904BF">
      <w:pPr>
        <w:pStyle w:val="ListParagraph"/>
        <w:numPr>
          <w:ilvl w:val="0"/>
          <w:numId w:val="5"/>
        </w:numPr>
      </w:pPr>
      <w:r>
        <w:t xml:space="preserve">Funding to enable a Middle Leader </w:t>
      </w:r>
      <w:r w:rsidR="00A904BF">
        <w:t>t</w:t>
      </w:r>
      <w:r>
        <w:t>o be based out of the classroom and additional time for the others,</w:t>
      </w:r>
      <w:r w:rsidR="00A904BF">
        <w:t xml:space="preserve"> clear support and monitoring of teaching and learning and targeting pupil premium children’s progress </w:t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3156AF">
        <w:t xml:space="preserve"> </w:t>
      </w:r>
      <w:r w:rsidR="00607563">
        <w:rPr>
          <w:b/>
        </w:rPr>
        <w:t>(Cost £</w:t>
      </w:r>
      <w:r>
        <w:rPr>
          <w:b/>
        </w:rPr>
        <w:t>5</w:t>
      </w:r>
      <w:r w:rsidR="00DA3733">
        <w:rPr>
          <w:b/>
        </w:rPr>
        <w:t>9</w:t>
      </w:r>
      <w:r w:rsidR="0083696E">
        <w:rPr>
          <w:b/>
        </w:rPr>
        <w:t>,460</w:t>
      </w:r>
      <w:r w:rsidR="00A904BF">
        <w:rPr>
          <w:b/>
        </w:rPr>
        <w:t>)</w:t>
      </w:r>
    </w:p>
    <w:p w:rsidR="00A904BF" w:rsidRPr="00A904BF" w:rsidRDefault="002A64E1" w:rsidP="00A904BF">
      <w:pPr>
        <w:pStyle w:val="ListParagraph"/>
        <w:numPr>
          <w:ilvl w:val="0"/>
          <w:numId w:val="5"/>
        </w:numPr>
      </w:pPr>
      <w:r>
        <w:t>Ad</w:t>
      </w:r>
      <w:r w:rsidR="00A904BF">
        <w:t xml:space="preserve">ditional Teachers in Years 2 and Key Stage 2 to provide Personalised Learning Groups for targeted children </w:t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3156AF">
        <w:t xml:space="preserve"> </w:t>
      </w:r>
      <w:r w:rsidR="00607563">
        <w:rPr>
          <w:b/>
        </w:rPr>
        <w:t>(Cost £</w:t>
      </w:r>
      <w:r w:rsidR="00DA3733">
        <w:rPr>
          <w:b/>
        </w:rPr>
        <w:t>6</w:t>
      </w:r>
      <w:r w:rsidR="00DA5F25">
        <w:rPr>
          <w:b/>
        </w:rPr>
        <w:t>6</w:t>
      </w:r>
      <w:r w:rsidR="0083696E">
        <w:rPr>
          <w:b/>
        </w:rPr>
        <w:t>,797</w:t>
      </w:r>
      <w:r w:rsidR="00A904BF" w:rsidRPr="00A904BF">
        <w:rPr>
          <w:b/>
        </w:rPr>
        <w:t>)</w:t>
      </w:r>
    </w:p>
    <w:p w:rsidR="00A904BF" w:rsidRDefault="00A904BF" w:rsidP="00A904BF">
      <w:pPr>
        <w:pStyle w:val="ListParagraph"/>
        <w:numPr>
          <w:ilvl w:val="0"/>
          <w:numId w:val="5"/>
        </w:numPr>
      </w:pPr>
      <w:r>
        <w:t>3 additional t</w:t>
      </w:r>
      <w:r w:rsidR="003F7D71">
        <w:t>eaching assistants to support Personalised Learning Groups</w:t>
      </w:r>
      <w:r>
        <w:t xml:space="preserve"> and deliver targeted support every afternoon </w:t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3156AF">
        <w:t xml:space="preserve"> </w:t>
      </w:r>
      <w:r w:rsidR="00DA3733">
        <w:rPr>
          <w:b/>
        </w:rPr>
        <w:t>(Cost £3</w:t>
      </w:r>
      <w:r w:rsidR="00DA5F25">
        <w:rPr>
          <w:b/>
        </w:rPr>
        <w:t>9</w:t>
      </w:r>
      <w:r w:rsidR="0083696E">
        <w:rPr>
          <w:b/>
        </w:rPr>
        <w:t>,782</w:t>
      </w:r>
      <w:r>
        <w:t>)</w:t>
      </w:r>
    </w:p>
    <w:p w:rsidR="00A904BF" w:rsidRDefault="00A904BF" w:rsidP="00A904BF">
      <w:pPr>
        <w:pStyle w:val="ListParagraph"/>
        <w:numPr>
          <w:ilvl w:val="0"/>
          <w:numId w:val="5"/>
        </w:numPr>
      </w:pPr>
      <w:r>
        <w:t>HLTA to deliver English Language teaching to EAL pupils</w:t>
      </w:r>
      <w:r w:rsidR="002F144A">
        <w:t xml:space="preserve"> (up till July 2019)</w:t>
      </w:r>
      <w:r w:rsidR="003156AF">
        <w:t xml:space="preserve"> </w:t>
      </w:r>
      <w:r w:rsidR="002F144A">
        <w:rPr>
          <w:b/>
        </w:rPr>
        <w:t>(Cost £7</w:t>
      </w:r>
      <w:r w:rsidR="0083696E">
        <w:rPr>
          <w:b/>
        </w:rPr>
        <w:t>,211</w:t>
      </w:r>
      <w:r w:rsidRPr="00571C8B">
        <w:rPr>
          <w:b/>
        </w:rPr>
        <w:t>)</w:t>
      </w:r>
    </w:p>
    <w:p w:rsidR="00A904BF" w:rsidRDefault="00A904BF" w:rsidP="00A904BF">
      <w:pPr>
        <w:pStyle w:val="ListParagraph"/>
        <w:numPr>
          <w:ilvl w:val="0"/>
          <w:numId w:val="5"/>
        </w:numPr>
      </w:pPr>
      <w:r>
        <w:t xml:space="preserve">Additional lunchtime cover to support timetable changes and provide more structured activities </w:t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  <w:t xml:space="preserve">  </w:t>
      </w:r>
      <w:r w:rsidR="002F144A">
        <w:rPr>
          <w:b/>
        </w:rPr>
        <w:t>(Cost £4</w:t>
      </w:r>
      <w:r w:rsidR="0083696E">
        <w:rPr>
          <w:b/>
        </w:rPr>
        <w:t>,45</w:t>
      </w:r>
      <w:r w:rsidRPr="00571C8B">
        <w:rPr>
          <w:b/>
        </w:rPr>
        <w:t>0)</w:t>
      </w:r>
    </w:p>
    <w:p w:rsidR="00F92F5A" w:rsidRDefault="00F92F5A" w:rsidP="00F92F5A">
      <w:pPr>
        <w:pStyle w:val="ListParagraph"/>
        <w:numPr>
          <w:ilvl w:val="0"/>
          <w:numId w:val="5"/>
        </w:numPr>
      </w:pPr>
      <w:r>
        <w:t xml:space="preserve">Funding free Breakfast Club spaces for vulnerable pupils </w:t>
      </w:r>
      <w:r w:rsidR="00AB24BE">
        <w:tab/>
      </w:r>
      <w:r w:rsidR="00AB24BE">
        <w:tab/>
        <w:t xml:space="preserve">  </w:t>
      </w:r>
      <w:r w:rsidRPr="00571C8B">
        <w:rPr>
          <w:b/>
        </w:rPr>
        <w:t>(</w:t>
      </w:r>
      <w:r>
        <w:rPr>
          <w:b/>
        </w:rPr>
        <w:t>Cost £2,50</w:t>
      </w:r>
      <w:r w:rsidRPr="00571C8B">
        <w:rPr>
          <w:b/>
        </w:rPr>
        <w:t>0)</w:t>
      </w:r>
    </w:p>
    <w:p w:rsidR="00F92F5A" w:rsidRPr="00571C8B" w:rsidRDefault="00F92F5A" w:rsidP="00F92F5A">
      <w:pPr>
        <w:pStyle w:val="ListParagraph"/>
        <w:numPr>
          <w:ilvl w:val="0"/>
          <w:numId w:val="5"/>
        </w:numPr>
      </w:pPr>
      <w:r>
        <w:t>Funding Homework Club every evening to ensure all pupils have access to support and a computer</w:t>
      </w:r>
      <w:r w:rsidR="0083696E">
        <w:rPr>
          <w:b/>
        </w:rPr>
        <w:t xml:space="preserve"> </w:t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  <w:t xml:space="preserve">  </w:t>
      </w:r>
      <w:r w:rsidR="0083696E">
        <w:rPr>
          <w:b/>
        </w:rPr>
        <w:t>(Cost £4,7</w:t>
      </w:r>
      <w:r w:rsidRPr="00571C8B">
        <w:rPr>
          <w:b/>
        </w:rPr>
        <w:t>00)</w:t>
      </w:r>
    </w:p>
    <w:p w:rsidR="00F92F5A" w:rsidRPr="00090B43" w:rsidRDefault="00F92F5A" w:rsidP="00F92F5A">
      <w:pPr>
        <w:pStyle w:val="ListParagraph"/>
        <w:numPr>
          <w:ilvl w:val="0"/>
          <w:numId w:val="5"/>
        </w:numPr>
      </w:pPr>
      <w:r>
        <w:t xml:space="preserve">Summer Holiday Education Programme </w:t>
      </w:r>
      <w:r w:rsidR="00AB24BE">
        <w:tab/>
      </w:r>
      <w:r w:rsidR="00AB24BE">
        <w:tab/>
      </w:r>
      <w:r w:rsidR="00AB24BE">
        <w:tab/>
      </w:r>
      <w:r w:rsidR="00AB24BE">
        <w:tab/>
      </w:r>
      <w:r w:rsidR="00AB24BE">
        <w:tab/>
        <w:t xml:space="preserve">  </w:t>
      </w:r>
      <w:r w:rsidR="00C064E3">
        <w:rPr>
          <w:b/>
        </w:rPr>
        <w:t>(Cost £3</w:t>
      </w:r>
      <w:r>
        <w:rPr>
          <w:b/>
        </w:rPr>
        <w:t>,</w:t>
      </w:r>
      <w:r w:rsidR="0083696E">
        <w:rPr>
          <w:b/>
        </w:rPr>
        <w:t>39</w:t>
      </w:r>
      <w:r w:rsidRPr="00D02D7C">
        <w:rPr>
          <w:b/>
        </w:rPr>
        <w:t>0)</w:t>
      </w:r>
    </w:p>
    <w:p w:rsidR="00F92F5A" w:rsidRPr="0006496C" w:rsidRDefault="00F92F5A" w:rsidP="00F92F5A">
      <w:pPr>
        <w:pStyle w:val="ListParagraph"/>
        <w:numPr>
          <w:ilvl w:val="0"/>
          <w:numId w:val="5"/>
        </w:numPr>
      </w:pPr>
      <w:r w:rsidRPr="00090B43">
        <w:t>Trip Subsidy</w:t>
      </w:r>
      <w:r w:rsidR="00C0319C">
        <w:rPr>
          <w:b/>
        </w:rPr>
        <w:t xml:space="preserve"> </w:t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</w:r>
      <w:r w:rsidR="00AB24BE">
        <w:rPr>
          <w:b/>
        </w:rPr>
        <w:tab/>
        <w:t xml:space="preserve">  </w:t>
      </w:r>
      <w:r w:rsidR="002F144A">
        <w:rPr>
          <w:b/>
        </w:rPr>
        <w:t>(Cost £11</w:t>
      </w:r>
      <w:r w:rsidR="00DA3733">
        <w:rPr>
          <w:b/>
        </w:rPr>
        <w:t>,0</w:t>
      </w:r>
      <w:r>
        <w:rPr>
          <w:b/>
        </w:rPr>
        <w:t>00)</w:t>
      </w:r>
    </w:p>
    <w:p w:rsidR="00F92F5A" w:rsidRPr="00F92F5A" w:rsidRDefault="00F92F5A" w:rsidP="00F92F5A">
      <w:pPr>
        <w:pStyle w:val="ListParagraph"/>
        <w:numPr>
          <w:ilvl w:val="0"/>
          <w:numId w:val="5"/>
        </w:numPr>
      </w:pPr>
      <w:r>
        <w:t>Employing a counsellor and play t</w:t>
      </w:r>
      <w:r w:rsidRPr="0006496C">
        <w:t>herapist for two days per week</w:t>
      </w:r>
      <w:r>
        <w:t xml:space="preserve"> </w:t>
      </w:r>
      <w:r w:rsidR="00AB24BE">
        <w:t xml:space="preserve">            </w:t>
      </w:r>
      <w:r w:rsidR="002F144A">
        <w:t xml:space="preserve">   </w:t>
      </w:r>
      <w:r w:rsidR="002F144A">
        <w:rPr>
          <w:b/>
        </w:rPr>
        <w:t>(Cost  £12</w:t>
      </w:r>
      <w:r w:rsidR="0083696E">
        <w:rPr>
          <w:b/>
        </w:rPr>
        <w:t>,72</w:t>
      </w:r>
      <w:r>
        <w:rPr>
          <w:b/>
        </w:rPr>
        <w:t>3</w:t>
      </w:r>
      <w:r w:rsidRPr="0006496C">
        <w:rPr>
          <w:b/>
        </w:rPr>
        <w:t>)</w:t>
      </w:r>
    </w:p>
    <w:p w:rsidR="00203A2F" w:rsidRPr="00B41F4E" w:rsidRDefault="00F92F5A" w:rsidP="00607563">
      <w:pPr>
        <w:pStyle w:val="ListParagraph"/>
        <w:numPr>
          <w:ilvl w:val="0"/>
          <w:numId w:val="5"/>
        </w:numPr>
      </w:pPr>
      <w:r w:rsidRPr="00F92F5A">
        <w:t>Increased hours for Sports Coach</w:t>
      </w:r>
      <w:r w:rsidR="00203A2F">
        <w:t xml:space="preserve"> and Sporting Activities</w:t>
      </w:r>
      <w:r>
        <w:t xml:space="preserve"> </w:t>
      </w:r>
      <w:r w:rsidR="00AB24BE">
        <w:tab/>
      </w:r>
      <w:r w:rsidR="00AB24BE">
        <w:tab/>
        <w:t xml:space="preserve">  </w:t>
      </w:r>
      <w:r w:rsidRPr="00F92F5A">
        <w:rPr>
          <w:b/>
        </w:rPr>
        <w:t xml:space="preserve">(Cost </w:t>
      </w:r>
      <w:r w:rsidR="002F144A">
        <w:rPr>
          <w:b/>
        </w:rPr>
        <w:t>£8</w:t>
      </w:r>
      <w:r w:rsidR="00DA3733">
        <w:rPr>
          <w:b/>
        </w:rPr>
        <w:t>,476</w:t>
      </w:r>
      <w:r w:rsidRPr="00F92F5A">
        <w:rPr>
          <w:b/>
        </w:rPr>
        <w:t>)</w:t>
      </w:r>
    </w:p>
    <w:p w:rsidR="00B41F4E" w:rsidRPr="0083696E" w:rsidRDefault="002816AB" w:rsidP="00F92F5A">
      <w:pPr>
        <w:pStyle w:val="ListParagraph"/>
        <w:numPr>
          <w:ilvl w:val="0"/>
          <w:numId w:val="5"/>
        </w:numPr>
      </w:pPr>
      <w:r>
        <w:t xml:space="preserve">Addition Accelerated Reader and Read Write Inc ‘home’ books </w:t>
      </w:r>
      <w:r w:rsidR="00AB24BE">
        <w:tab/>
      </w:r>
      <w:r w:rsidR="00AB24BE">
        <w:tab/>
        <w:t xml:space="preserve">  </w:t>
      </w:r>
      <w:r>
        <w:rPr>
          <w:b/>
        </w:rPr>
        <w:t>(Cost £3,0</w:t>
      </w:r>
      <w:r w:rsidR="00B41F4E">
        <w:rPr>
          <w:b/>
        </w:rPr>
        <w:t>00)</w:t>
      </w:r>
    </w:p>
    <w:p w:rsidR="0083696E" w:rsidRPr="00203A2F" w:rsidRDefault="0083696E" w:rsidP="002816AB">
      <w:pPr>
        <w:ind w:left="360"/>
      </w:pPr>
    </w:p>
    <w:p w:rsidR="00203A2F" w:rsidRDefault="00203A2F" w:rsidP="00AB24BE">
      <w:pPr>
        <w:ind w:left="5040" w:firstLine="720"/>
        <w:rPr>
          <w:b/>
          <w:u w:val="single"/>
        </w:rPr>
      </w:pPr>
      <w:bookmarkStart w:id="0" w:name="_GoBack"/>
      <w:bookmarkEnd w:id="0"/>
      <w:r w:rsidRPr="00AB24BE">
        <w:rPr>
          <w:b/>
          <w:u w:val="single"/>
        </w:rPr>
        <w:t>Current Spendin</w:t>
      </w:r>
      <w:r w:rsidR="00607563" w:rsidRPr="00AB24BE">
        <w:rPr>
          <w:b/>
          <w:u w:val="single"/>
        </w:rPr>
        <w:t>g</w:t>
      </w:r>
      <w:r w:rsidR="00DA3733">
        <w:rPr>
          <w:b/>
          <w:u w:val="single"/>
        </w:rPr>
        <w:t xml:space="preserve">    </w:t>
      </w:r>
      <w:r w:rsidR="00607563" w:rsidRPr="00AB24BE">
        <w:rPr>
          <w:b/>
          <w:u w:val="single"/>
        </w:rPr>
        <w:t xml:space="preserve"> £</w:t>
      </w:r>
      <w:r w:rsidR="002F144A">
        <w:rPr>
          <w:b/>
          <w:u w:val="single"/>
        </w:rPr>
        <w:t>223</w:t>
      </w:r>
      <w:r w:rsidR="002816AB">
        <w:rPr>
          <w:b/>
          <w:u w:val="single"/>
        </w:rPr>
        <w:t>,489</w:t>
      </w:r>
    </w:p>
    <w:p w:rsidR="002A64E1" w:rsidRDefault="00C064E3">
      <w:r>
        <w:lastRenderedPageBreak/>
        <w:t>Remaining budget to be held for in year identified priorities.</w:t>
      </w:r>
      <w:r w:rsidR="00FD3794">
        <w:t xml:space="preserve"> Pupil Premium spending and impa</w:t>
      </w:r>
      <w:r w:rsidR="002F144A">
        <w:t>ct will be reviewed in June 20</w:t>
      </w:r>
      <w:r w:rsidR="007C6697">
        <w:t>20</w:t>
      </w:r>
      <w:r w:rsidR="00E36693">
        <w:t>.</w:t>
      </w:r>
    </w:p>
    <w:p w:rsidR="000215A4" w:rsidRDefault="000215A4"/>
    <w:p w:rsidR="006D3F6C" w:rsidRPr="006D3F6C" w:rsidRDefault="002F1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2018 - 2019</w:t>
      </w:r>
    </w:p>
    <w:p w:rsidR="002A64E1" w:rsidRDefault="002A64E1" w:rsidP="002A64E1">
      <w:r>
        <w:t>For the last academic year the school</w:t>
      </w:r>
      <w:r w:rsidR="007768A1">
        <w:t xml:space="preserve"> received a total of </w:t>
      </w:r>
      <w:r w:rsidR="002F144A">
        <w:rPr>
          <w:b/>
          <w:u w:val="single"/>
        </w:rPr>
        <w:t>£255,740</w:t>
      </w:r>
      <w:r w:rsidR="007768A1">
        <w:t xml:space="preserve"> in Pupil Premium funding</w:t>
      </w:r>
      <w:r>
        <w:t>. It was spent in the following ways.</w:t>
      </w:r>
    </w:p>
    <w:p w:rsidR="00607563" w:rsidRDefault="00607563" w:rsidP="00607563">
      <w:pPr>
        <w:pStyle w:val="ListParagraph"/>
        <w:numPr>
          <w:ilvl w:val="0"/>
          <w:numId w:val="5"/>
        </w:numPr>
      </w:pPr>
      <w:r>
        <w:t xml:space="preserve">Part funding to enable the school’s Middle Leadership Team to be based out of the classroom, clear support and monitoring of teaching and learning and targeting pupil premium children’s progress </w:t>
      </w:r>
      <w:r>
        <w:rPr>
          <w:b/>
        </w:rPr>
        <w:t>(Cost £88,901)</w:t>
      </w:r>
    </w:p>
    <w:p w:rsidR="00607563" w:rsidRPr="00A904BF" w:rsidRDefault="00607563" w:rsidP="00607563">
      <w:pPr>
        <w:pStyle w:val="ListParagraph"/>
        <w:numPr>
          <w:ilvl w:val="0"/>
          <w:numId w:val="5"/>
        </w:numPr>
      </w:pPr>
      <w:r>
        <w:t xml:space="preserve">Additional Teachers in Years 2 and Key Stage 2 to provide Personalised Learning Groups for targeted children </w:t>
      </w:r>
      <w:r w:rsidRPr="00A904BF">
        <w:rPr>
          <w:b/>
        </w:rPr>
        <w:t>(Cost £69,353)</w:t>
      </w:r>
    </w:p>
    <w:p w:rsidR="00607563" w:rsidRDefault="00607563" w:rsidP="00607563">
      <w:pPr>
        <w:pStyle w:val="ListParagraph"/>
        <w:numPr>
          <w:ilvl w:val="0"/>
          <w:numId w:val="5"/>
        </w:numPr>
      </w:pPr>
      <w:r>
        <w:t xml:space="preserve">3 additional teaching assistants to support Personalised Learning Groups and deliver targeted support every afternoon </w:t>
      </w:r>
      <w:r>
        <w:rPr>
          <w:b/>
        </w:rPr>
        <w:t>(Cost £44,193</w:t>
      </w:r>
      <w:r>
        <w:t>)</w:t>
      </w:r>
    </w:p>
    <w:p w:rsidR="00607563" w:rsidRDefault="00607563" w:rsidP="00607563">
      <w:pPr>
        <w:pStyle w:val="ListParagraph"/>
        <w:numPr>
          <w:ilvl w:val="0"/>
          <w:numId w:val="5"/>
        </w:numPr>
      </w:pPr>
      <w:r>
        <w:t xml:space="preserve">HLTA to deliver English Language teaching to EAL pupils </w:t>
      </w:r>
      <w:r>
        <w:rPr>
          <w:b/>
        </w:rPr>
        <w:t>(Cost £16,957</w:t>
      </w:r>
      <w:r w:rsidRPr="00571C8B">
        <w:rPr>
          <w:b/>
        </w:rPr>
        <w:t>)</w:t>
      </w:r>
    </w:p>
    <w:p w:rsidR="00607563" w:rsidRDefault="00607563" w:rsidP="00607563">
      <w:pPr>
        <w:pStyle w:val="ListParagraph"/>
        <w:numPr>
          <w:ilvl w:val="0"/>
          <w:numId w:val="5"/>
        </w:numPr>
      </w:pPr>
      <w:r>
        <w:t xml:space="preserve">Additional lunchtime cover to support timetable changes and provide more structured activities </w:t>
      </w:r>
      <w:r>
        <w:rPr>
          <w:b/>
        </w:rPr>
        <w:t>(Cost £5,1</w:t>
      </w:r>
      <w:r w:rsidRPr="00571C8B">
        <w:rPr>
          <w:b/>
        </w:rPr>
        <w:t>00)</w:t>
      </w:r>
    </w:p>
    <w:p w:rsidR="00607563" w:rsidRDefault="00607563" w:rsidP="00607563">
      <w:pPr>
        <w:pStyle w:val="ListParagraph"/>
        <w:numPr>
          <w:ilvl w:val="0"/>
          <w:numId w:val="5"/>
        </w:numPr>
      </w:pPr>
      <w:r>
        <w:t xml:space="preserve">Funding free Breakfast Club spaces for vulnerable pupils </w:t>
      </w:r>
      <w:r w:rsidRPr="00571C8B">
        <w:rPr>
          <w:b/>
        </w:rPr>
        <w:t>(</w:t>
      </w:r>
      <w:r>
        <w:rPr>
          <w:b/>
        </w:rPr>
        <w:t>Cost £2,50</w:t>
      </w:r>
      <w:r w:rsidRPr="00571C8B">
        <w:rPr>
          <w:b/>
        </w:rPr>
        <w:t>0)</w:t>
      </w:r>
    </w:p>
    <w:p w:rsidR="00607563" w:rsidRPr="00571C8B" w:rsidRDefault="00607563" w:rsidP="00607563">
      <w:pPr>
        <w:pStyle w:val="ListParagraph"/>
        <w:numPr>
          <w:ilvl w:val="0"/>
          <w:numId w:val="5"/>
        </w:numPr>
      </w:pPr>
      <w:r>
        <w:t>Funding Homework Club every evening to ensure all pupils have access to support and a computer</w:t>
      </w:r>
      <w:r>
        <w:rPr>
          <w:b/>
        </w:rPr>
        <w:t xml:space="preserve"> (Cost £4,1</w:t>
      </w:r>
      <w:r w:rsidRPr="00571C8B">
        <w:rPr>
          <w:b/>
        </w:rPr>
        <w:t>00)</w:t>
      </w:r>
    </w:p>
    <w:p w:rsidR="00607563" w:rsidRPr="00090B43" w:rsidRDefault="00607563" w:rsidP="00607563">
      <w:pPr>
        <w:pStyle w:val="ListParagraph"/>
        <w:numPr>
          <w:ilvl w:val="0"/>
          <w:numId w:val="5"/>
        </w:numPr>
      </w:pPr>
      <w:r>
        <w:t xml:space="preserve">Summer Holiday Education Programme </w:t>
      </w:r>
      <w:r>
        <w:rPr>
          <w:b/>
        </w:rPr>
        <w:t>(Cost £4,</w:t>
      </w:r>
      <w:r w:rsidRPr="00D02D7C">
        <w:rPr>
          <w:b/>
        </w:rPr>
        <w:t>430)</w:t>
      </w:r>
    </w:p>
    <w:p w:rsidR="00607563" w:rsidRPr="0006496C" w:rsidRDefault="00607563" w:rsidP="00607563">
      <w:pPr>
        <w:pStyle w:val="ListParagraph"/>
        <w:numPr>
          <w:ilvl w:val="0"/>
          <w:numId w:val="5"/>
        </w:numPr>
      </w:pPr>
      <w:r w:rsidRPr="00090B43">
        <w:t>Trip Subsidy</w:t>
      </w:r>
      <w:r>
        <w:rPr>
          <w:b/>
        </w:rPr>
        <w:t xml:space="preserve"> (Cost £8,000)</w:t>
      </w:r>
    </w:p>
    <w:p w:rsidR="00607563" w:rsidRPr="00F92F5A" w:rsidRDefault="00607563" w:rsidP="00607563">
      <w:pPr>
        <w:pStyle w:val="ListParagraph"/>
        <w:numPr>
          <w:ilvl w:val="0"/>
          <w:numId w:val="5"/>
        </w:numPr>
      </w:pPr>
      <w:r>
        <w:t>Employing a counsellor and play t</w:t>
      </w:r>
      <w:r w:rsidRPr="0006496C">
        <w:t>herapist for two days per week</w:t>
      </w:r>
      <w:r>
        <w:t xml:space="preserve"> </w:t>
      </w:r>
      <w:r>
        <w:rPr>
          <w:b/>
        </w:rPr>
        <w:t>(Cost  £10,913</w:t>
      </w:r>
      <w:r w:rsidRPr="0006496C">
        <w:rPr>
          <w:b/>
        </w:rPr>
        <w:t>)</w:t>
      </w:r>
    </w:p>
    <w:p w:rsidR="00607563" w:rsidRPr="00203A2F" w:rsidRDefault="00607563" w:rsidP="00607563">
      <w:pPr>
        <w:pStyle w:val="ListParagraph"/>
        <w:numPr>
          <w:ilvl w:val="0"/>
          <w:numId w:val="5"/>
        </w:numPr>
      </w:pPr>
      <w:r w:rsidRPr="00F92F5A">
        <w:t>Increased hours for Sports Coach</w:t>
      </w:r>
      <w:r>
        <w:t xml:space="preserve"> and Sporting Activities </w:t>
      </w:r>
      <w:r w:rsidRPr="00F92F5A">
        <w:rPr>
          <w:b/>
        </w:rPr>
        <w:t xml:space="preserve">(Cost </w:t>
      </w:r>
      <w:r>
        <w:rPr>
          <w:b/>
        </w:rPr>
        <w:t>£9</w:t>
      </w:r>
      <w:r w:rsidRPr="00F92F5A">
        <w:rPr>
          <w:b/>
        </w:rPr>
        <w:t>,309)</w:t>
      </w:r>
    </w:p>
    <w:p w:rsidR="00607563" w:rsidRPr="00203A2F" w:rsidRDefault="00607563" w:rsidP="00607563">
      <w:pPr>
        <w:pStyle w:val="ListParagraph"/>
        <w:numPr>
          <w:ilvl w:val="0"/>
          <w:numId w:val="5"/>
        </w:numPr>
      </w:pPr>
      <w:r w:rsidRPr="00203A2F">
        <w:t>Year 2 of the Mike Askew Maths Project</w:t>
      </w:r>
      <w:r>
        <w:rPr>
          <w:b/>
        </w:rPr>
        <w:t xml:space="preserve"> (Cost £9,000)</w:t>
      </w:r>
    </w:p>
    <w:p w:rsidR="00607563" w:rsidRPr="00B41F4E" w:rsidRDefault="00607563" w:rsidP="00607563">
      <w:pPr>
        <w:pStyle w:val="ListParagraph"/>
        <w:numPr>
          <w:ilvl w:val="0"/>
          <w:numId w:val="5"/>
        </w:numPr>
      </w:pPr>
      <w:r w:rsidRPr="00203A2F">
        <w:t>Additional Read Write Inc training for new Staff</w:t>
      </w:r>
      <w:r>
        <w:rPr>
          <w:b/>
        </w:rPr>
        <w:t xml:space="preserve"> (Cost £1,650)</w:t>
      </w:r>
    </w:p>
    <w:p w:rsidR="00607563" w:rsidRPr="00203A2F" w:rsidRDefault="00607563" w:rsidP="00607563">
      <w:pPr>
        <w:pStyle w:val="ListParagraph"/>
        <w:numPr>
          <w:ilvl w:val="0"/>
          <w:numId w:val="5"/>
        </w:numPr>
      </w:pPr>
      <w:r w:rsidRPr="00B41F4E">
        <w:t xml:space="preserve">Accelerated Reader and PIXL programme to target PP children </w:t>
      </w:r>
      <w:r>
        <w:rPr>
          <w:b/>
        </w:rPr>
        <w:t>(Cost £4,800)</w:t>
      </w:r>
    </w:p>
    <w:p w:rsidR="00607563" w:rsidRDefault="00607563" w:rsidP="0006496C">
      <w:pPr>
        <w:rPr>
          <w:b/>
          <w:u w:val="single"/>
        </w:rPr>
      </w:pPr>
    </w:p>
    <w:p w:rsidR="006336FE" w:rsidRDefault="002A64E1" w:rsidP="0006496C">
      <w:pPr>
        <w:rPr>
          <w:b/>
          <w:u w:val="single"/>
        </w:rPr>
      </w:pPr>
      <w:r w:rsidRPr="0034221A">
        <w:rPr>
          <w:b/>
          <w:u w:val="single"/>
        </w:rPr>
        <w:t>Impact of Pupil Premium Spending</w:t>
      </w:r>
    </w:p>
    <w:p w:rsidR="00E36693" w:rsidRPr="00E36693" w:rsidRDefault="00E36693" w:rsidP="0006496C">
      <w:r>
        <w:t>Impact is measured across the school regularly. The progress and attainment of the children is closely scrutinised to monitor the effectiveness of our Pupil Premium spending.</w:t>
      </w:r>
      <w:r w:rsidR="007D551F">
        <w:t xml:space="preserve"> Pupil Premium children are achieving WELL ABOVE the national average in most areas of the curriulum</w:t>
      </w:r>
    </w:p>
    <w:p w:rsidR="00190214" w:rsidRDefault="006336FE" w:rsidP="00190214">
      <w:r w:rsidRPr="000740A1">
        <w:rPr>
          <w:u w:val="single"/>
        </w:rPr>
        <w:t>Key Stage 2</w:t>
      </w:r>
      <w:r w:rsidR="00190214" w:rsidRPr="00190214">
        <w:t xml:space="preserve"> </w:t>
      </w:r>
    </w:p>
    <w:p w:rsidR="006336FE" w:rsidRPr="00190214" w:rsidRDefault="00190214" w:rsidP="0006496C">
      <w:r w:rsidRPr="003156AF">
        <w:t>These tests are taken at the end of Year 6 before the child</w:t>
      </w:r>
      <w:r>
        <w:t>ren move on to Secondary school</w:t>
      </w:r>
    </w:p>
    <w:p w:rsidR="00DA5F25" w:rsidRPr="00C064E3" w:rsidRDefault="00DA5F25" w:rsidP="0006496C">
      <w:pPr>
        <w:rPr>
          <w:u w:val="single"/>
        </w:rPr>
      </w:pPr>
      <w:r w:rsidRPr="00C064E3">
        <w:rPr>
          <w:b/>
        </w:rPr>
        <w:t xml:space="preserve">The progress and achievement of the </w:t>
      </w:r>
      <w:r w:rsidR="007D551F">
        <w:rPr>
          <w:b/>
        </w:rPr>
        <w:t>children in Key Stage 2 for 2018 – 2019</w:t>
      </w:r>
      <w:r w:rsidRPr="00C064E3">
        <w:rPr>
          <w:b/>
        </w:rPr>
        <w:t xml:space="preserve"> was excellent and exceeded National and Local averages.</w:t>
      </w:r>
      <w:r w:rsidR="00190214">
        <w:rPr>
          <w:b/>
        </w:rPr>
        <w:t xml:space="preserve"> The school outperformed the Local Authority average in al</w:t>
      </w:r>
      <w:r w:rsidR="007D551F">
        <w:rPr>
          <w:b/>
        </w:rPr>
        <w:t>l areas and showed a very small</w:t>
      </w:r>
      <w:r w:rsidR="00190214">
        <w:rPr>
          <w:b/>
        </w:rPr>
        <w:t xml:space="preserve"> gap in achievement between pupil premium and non-pupil premium children.</w:t>
      </w:r>
      <w:r w:rsidR="007D551F">
        <w:rPr>
          <w:b/>
        </w:rPr>
        <w:t xml:space="preserve"> In some areas pupil premium children scored better than the rest of the cohort.</w:t>
      </w:r>
      <w:r w:rsidR="00190214">
        <w:rPr>
          <w:b/>
        </w:rPr>
        <w:t xml:space="preserve"> The figures are particularly strong for those children who receive pupil premium funding and who do not have any Special Educational needs.</w:t>
      </w:r>
    </w:p>
    <w:p w:rsidR="00FA3FFB" w:rsidRDefault="00190214" w:rsidP="0006496C">
      <w:r w:rsidRPr="00190214">
        <w:lastRenderedPageBreak/>
        <w:t>The following tables look at the percentage of children achieving the expected levels, or above, in the Key Stage 2 tests</w:t>
      </w:r>
      <w:r w:rsidR="0037152C">
        <w:t>, P</w:t>
      </w:r>
      <w:r w:rsidR="002816AB">
        <w:t>upil Premium children make u</w:t>
      </w:r>
      <w:r w:rsidR="007D551F">
        <w:t>p 64.8</w:t>
      </w:r>
      <w:r w:rsidR="0037152C">
        <w:t>% of the Year Group</w:t>
      </w:r>
      <w:r w:rsidRPr="00190214">
        <w:t>. They also compare the school’s results against the local authority</w:t>
      </w:r>
      <w:r w:rsidR="0037152C">
        <w:t>.</w:t>
      </w:r>
    </w:p>
    <w:p w:rsidR="00190214" w:rsidRPr="00B93B15" w:rsidRDefault="00B93B15" w:rsidP="0006496C">
      <w:r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08"/>
      </w:tblGrid>
      <w:tr w:rsidR="00B93B15" w:rsidRPr="00B93B15" w:rsidTr="00B93B15">
        <w:tc>
          <w:tcPr>
            <w:tcW w:w="1980" w:type="dxa"/>
          </w:tcPr>
          <w:p w:rsidR="00B93B15" w:rsidRPr="0037152C" w:rsidRDefault="00B93B15" w:rsidP="0006496C">
            <w:pPr>
              <w:rPr>
                <w:b/>
              </w:rPr>
            </w:pPr>
          </w:p>
        </w:tc>
        <w:tc>
          <w:tcPr>
            <w:tcW w:w="1407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Average</w:t>
            </w:r>
          </w:p>
        </w:tc>
        <w:tc>
          <w:tcPr>
            <w:tcW w:w="1407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PP</w:t>
            </w:r>
          </w:p>
        </w:tc>
        <w:tc>
          <w:tcPr>
            <w:tcW w:w="1407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PP no SEN</w:t>
            </w:r>
          </w:p>
        </w:tc>
        <w:tc>
          <w:tcPr>
            <w:tcW w:w="1407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Non PP</w:t>
            </w:r>
          </w:p>
        </w:tc>
        <w:tc>
          <w:tcPr>
            <w:tcW w:w="1408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Gap</w:t>
            </w:r>
          </w:p>
        </w:tc>
      </w:tr>
      <w:tr w:rsidR="00B93B15" w:rsidRPr="00B93B15" w:rsidTr="00B93B15">
        <w:tc>
          <w:tcPr>
            <w:tcW w:w="1980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Combined R,W&amp;M</w:t>
            </w:r>
          </w:p>
        </w:tc>
        <w:tc>
          <w:tcPr>
            <w:tcW w:w="1407" w:type="dxa"/>
          </w:tcPr>
          <w:p w:rsidR="00B93B15" w:rsidRPr="00B93B15" w:rsidRDefault="007D551F" w:rsidP="0006496C">
            <w:r>
              <w:t>67.9</w:t>
            </w:r>
            <w:r w:rsidR="0037152C">
              <w:t>%</w:t>
            </w:r>
          </w:p>
        </w:tc>
        <w:tc>
          <w:tcPr>
            <w:tcW w:w="1407" w:type="dxa"/>
          </w:tcPr>
          <w:p w:rsidR="00B93B15" w:rsidRPr="00B93B15" w:rsidRDefault="007D551F" w:rsidP="0006496C">
            <w:r>
              <w:t>67.6</w:t>
            </w:r>
            <w:r w:rsidR="00B93B15">
              <w:t>%</w:t>
            </w:r>
          </w:p>
        </w:tc>
        <w:tc>
          <w:tcPr>
            <w:tcW w:w="1407" w:type="dxa"/>
          </w:tcPr>
          <w:p w:rsidR="00B93B15" w:rsidRPr="00B93B15" w:rsidRDefault="007D551F" w:rsidP="0006496C">
            <w:r>
              <w:t>73.2</w:t>
            </w:r>
            <w:r w:rsidR="0037152C">
              <w:t>%</w:t>
            </w:r>
          </w:p>
        </w:tc>
        <w:tc>
          <w:tcPr>
            <w:tcW w:w="1407" w:type="dxa"/>
          </w:tcPr>
          <w:p w:rsidR="00B93B15" w:rsidRPr="00B93B15" w:rsidRDefault="007D551F" w:rsidP="0006496C">
            <w:r>
              <w:t>68.4</w:t>
            </w:r>
            <w:r w:rsidR="0037152C">
              <w:t>%</w:t>
            </w:r>
          </w:p>
        </w:tc>
        <w:tc>
          <w:tcPr>
            <w:tcW w:w="1408" w:type="dxa"/>
          </w:tcPr>
          <w:p w:rsidR="00B93B15" w:rsidRPr="00B93B15" w:rsidRDefault="007D551F" w:rsidP="0006496C">
            <w:r>
              <w:t>0.8</w:t>
            </w:r>
            <w:r w:rsidR="0037152C">
              <w:t>%</w:t>
            </w:r>
          </w:p>
        </w:tc>
      </w:tr>
      <w:tr w:rsidR="00B93B15" w:rsidRPr="00B93B15" w:rsidTr="00B93B15">
        <w:tc>
          <w:tcPr>
            <w:tcW w:w="1980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69.8</w:t>
            </w:r>
            <w:r w:rsidR="0037152C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70.6</w:t>
            </w:r>
            <w:r w:rsidR="0037152C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73.2</w:t>
            </w:r>
            <w:r w:rsidR="0037152C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68.4</w:t>
            </w:r>
            <w:r w:rsidR="0037152C">
              <w:t>%</w:t>
            </w:r>
          </w:p>
        </w:tc>
        <w:tc>
          <w:tcPr>
            <w:tcW w:w="1408" w:type="dxa"/>
          </w:tcPr>
          <w:p w:rsidR="00B93B15" w:rsidRPr="00B93B15" w:rsidRDefault="00BE4127" w:rsidP="0006496C">
            <w:r>
              <w:t>-2.2</w:t>
            </w:r>
            <w:r w:rsidR="0037152C">
              <w:t>%</w:t>
            </w:r>
          </w:p>
        </w:tc>
      </w:tr>
      <w:tr w:rsidR="00B93B15" w:rsidRPr="00B93B15" w:rsidTr="00B93B15">
        <w:tc>
          <w:tcPr>
            <w:tcW w:w="1980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81.1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79.4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87.8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84.2</w:t>
            </w:r>
            <w:r w:rsidR="002606F7">
              <w:t>%</w:t>
            </w:r>
          </w:p>
        </w:tc>
        <w:tc>
          <w:tcPr>
            <w:tcW w:w="1408" w:type="dxa"/>
          </w:tcPr>
          <w:p w:rsidR="00B93B15" w:rsidRPr="00B93B15" w:rsidRDefault="00BE4127" w:rsidP="0006496C">
            <w:r>
              <w:t>4.8</w:t>
            </w:r>
            <w:r w:rsidR="002606F7">
              <w:t>%</w:t>
            </w:r>
          </w:p>
        </w:tc>
      </w:tr>
      <w:tr w:rsidR="00B93B15" w:rsidRPr="00B93B15" w:rsidTr="00B93B15">
        <w:tc>
          <w:tcPr>
            <w:tcW w:w="1980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Maths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79.2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76.5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85.4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84.2</w:t>
            </w:r>
            <w:r w:rsidR="002606F7">
              <w:t>%</w:t>
            </w:r>
          </w:p>
        </w:tc>
        <w:tc>
          <w:tcPr>
            <w:tcW w:w="1408" w:type="dxa"/>
          </w:tcPr>
          <w:p w:rsidR="00B93B15" w:rsidRPr="00B93B15" w:rsidRDefault="00BE4127" w:rsidP="0006496C">
            <w:r>
              <w:t>7.7</w:t>
            </w:r>
            <w:r w:rsidR="002606F7">
              <w:t>%</w:t>
            </w:r>
          </w:p>
        </w:tc>
      </w:tr>
      <w:tr w:rsidR="00B93B15" w:rsidRPr="00B93B15" w:rsidTr="00B93B15">
        <w:tc>
          <w:tcPr>
            <w:tcW w:w="1980" w:type="dxa"/>
          </w:tcPr>
          <w:p w:rsidR="00B93B15" w:rsidRPr="0037152C" w:rsidRDefault="00B93B15" w:rsidP="0006496C">
            <w:pPr>
              <w:rPr>
                <w:b/>
              </w:rPr>
            </w:pPr>
            <w:r w:rsidRPr="0037152C">
              <w:rPr>
                <w:b/>
              </w:rPr>
              <w:t>GPS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75.5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73.9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82.9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06496C">
            <w:r>
              <w:t>78.9</w:t>
            </w:r>
            <w:r w:rsidR="002606F7">
              <w:t>%</w:t>
            </w:r>
          </w:p>
        </w:tc>
        <w:tc>
          <w:tcPr>
            <w:tcW w:w="1408" w:type="dxa"/>
          </w:tcPr>
          <w:p w:rsidR="00B93B15" w:rsidRPr="00B93B15" w:rsidRDefault="00BE4127" w:rsidP="0006496C">
            <w:r>
              <w:t>5</w:t>
            </w:r>
            <w:r w:rsidR="002606F7">
              <w:t>%</w:t>
            </w:r>
          </w:p>
        </w:tc>
      </w:tr>
    </w:tbl>
    <w:p w:rsidR="006336FE" w:rsidRDefault="006336FE" w:rsidP="0006496C">
      <w:pPr>
        <w:rPr>
          <w:highlight w:val="cyan"/>
        </w:rPr>
      </w:pPr>
    </w:p>
    <w:p w:rsidR="00B93B15" w:rsidRDefault="00B93B15" w:rsidP="0006496C">
      <w:r w:rsidRPr="00B93B15">
        <w:t>Local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08"/>
      </w:tblGrid>
      <w:tr w:rsidR="00B93B15" w:rsidTr="002816AB">
        <w:tc>
          <w:tcPr>
            <w:tcW w:w="1980" w:type="dxa"/>
          </w:tcPr>
          <w:p w:rsidR="00B93B15" w:rsidRPr="0037152C" w:rsidRDefault="00B93B15" w:rsidP="002816AB">
            <w:pPr>
              <w:rPr>
                <w:b/>
              </w:rPr>
            </w:pPr>
          </w:p>
        </w:tc>
        <w:tc>
          <w:tcPr>
            <w:tcW w:w="1407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Average</w:t>
            </w:r>
          </w:p>
        </w:tc>
        <w:tc>
          <w:tcPr>
            <w:tcW w:w="1407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PP</w:t>
            </w:r>
          </w:p>
        </w:tc>
        <w:tc>
          <w:tcPr>
            <w:tcW w:w="1407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PP no SEN</w:t>
            </w:r>
          </w:p>
        </w:tc>
        <w:tc>
          <w:tcPr>
            <w:tcW w:w="1407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Non PP</w:t>
            </w:r>
          </w:p>
        </w:tc>
        <w:tc>
          <w:tcPr>
            <w:tcW w:w="1408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Gap</w:t>
            </w:r>
          </w:p>
        </w:tc>
      </w:tr>
      <w:tr w:rsidR="00B93B15" w:rsidRPr="00B93B15" w:rsidTr="002816AB">
        <w:tc>
          <w:tcPr>
            <w:tcW w:w="1980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Combined R,W&amp;M</w:t>
            </w:r>
          </w:p>
        </w:tc>
        <w:tc>
          <w:tcPr>
            <w:tcW w:w="1407" w:type="dxa"/>
          </w:tcPr>
          <w:p w:rsidR="00B93B15" w:rsidRPr="00B93B15" w:rsidRDefault="00BE4127" w:rsidP="002816AB">
            <w:r>
              <w:t>68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2816AB">
            <w:r>
              <w:t>52.6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2816AB">
            <w:r>
              <w:t>72.2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2816AB">
            <w:r>
              <w:t>74.2</w:t>
            </w:r>
            <w:r w:rsidR="002606F7">
              <w:t>%</w:t>
            </w:r>
          </w:p>
        </w:tc>
        <w:tc>
          <w:tcPr>
            <w:tcW w:w="1408" w:type="dxa"/>
          </w:tcPr>
          <w:p w:rsidR="00B93B15" w:rsidRPr="00B93B15" w:rsidRDefault="00BE4127" w:rsidP="002816AB">
            <w:r>
              <w:t>21.6</w:t>
            </w:r>
            <w:r w:rsidR="002606F7">
              <w:t>%</w:t>
            </w:r>
          </w:p>
        </w:tc>
      </w:tr>
      <w:tr w:rsidR="00B93B15" w:rsidRPr="00B93B15" w:rsidTr="002816AB">
        <w:tc>
          <w:tcPr>
            <w:tcW w:w="1980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B93B15" w:rsidRPr="00B93B15" w:rsidRDefault="00BE4127" w:rsidP="002816AB">
            <w:r>
              <w:t>76</w:t>
            </w:r>
            <w:r w:rsidR="002606F7">
              <w:t>%</w:t>
            </w:r>
          </w:p>
        </w:tc>
        <w:tc>
          <w:tcPr>
            <w:tcW w:w="1407" w:type="dxa"/>
          </w:tcPr>
          <w:p w:rsidR="00B93B15" w:rsidRPr="00B93B15" w:rsidRDefault="00BE4127" w:rsidP="002816AB">
            <w:r>
              <w:t>62.8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79.6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80.8</w:t>
            </w:r>
            <w:r w:rsidR="000C5D30">
              <w:t>%</w:t>
            </w:r>
          </w:p>
        </w:tc>
        <w:tc>
          <w:tcPr>
            <w:tcW w:w="1408" w:type="dxa"/>
          </w:tcPr>
          <w:p w:rsidR="00B93B15" w:rsidRPr="00B93B15" w:rsidRDefault="007B62BF" w:rsidP="002816AB">
            <w:r>
              <w:t>18</w:t>
            </w:r>
            <w:r w:rsidR="000C5D30">
              <w:t>%</w:t>
            </w:r>
          </w:p>
        </w:tc>
      </w:tr>
      <w:tr w:rsidR="00B93B15" w:rsidRPr="00B93B15" w:rsidTr="002816AB">
        <w:tc>
          <w:tcPr>
            <w:tcW w:w="1980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82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70.1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86.5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87</w:t>
            </w:r>
            <w:r w:rsidR="000C5D30">
              <w:t>%</w:t>
            </w:r>
          </w:p>
        </w:tc>
        <w:tc>
          <w:tcPr>
            <w:tcW w:w="1408" w:type="dxa"/>
          </w:tcPr>
          <w:p w:rsidR="00B93B15" w:rsidRPr="00B93B15" w:rsidRDefault="007B62BF" w:rsidP="002816AB">
            <w:r>
              <w:t>16.9</w:t>
            </w:r>
            <w:r w:rsidR="000C5D30">
              <w:t>%</w:t>
            </w:r>
          </w:p>
        </w:tc>
      </w:tr>
      <w:tr w:rsidR="00B93B15" w:rsidRPr="00B93B15" w:rsidTr="002816AB">
        <w:tc>
          <w:tcPr>
            <w:tcW w:w="1980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Maths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79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65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82.6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84</w:t>
            </w:r>
            <w:r w:rsidR="000C5D30">
              <w:t>%</w:t>
            </w:r>
          </w:p>
        </w:tc>
        <w:tc>
          <w:tcPr>
            <w:tcW w:w="1408" w:type="dxa"/>
          </w:tcPr>
          <w:p w:rsidR="00B93B15" w:rsidRPr="00B93B15" w:rsidRDefault="007B62BF" w:rsidP="002816AB">
            <w:r>
              <w:t>19</w:t>
            </w:r>
            <w:r w:rsidR="000C5D30">
              <w:t>%</w:t>
            </w:r>
          </w:p>
        </w:tc>
      </w:tr>
      <w:tr w:rsidR="00B93B15" w:rsidRPr="00B93B15" w:rsidTr="002816AB">
        <w:tc>
          <w:tcPr>
            <w:tcW w:w="1980" w:type="dxa"/>
          </w:tcPr>
          <w:p w:rsidR="00B93B15" w:rsidRPr="0037152C" w:rsidRDefault="00B93B15" w:rsidP="002816AB">
            <w:pPr>
              <w:rPr>
                <w:b/>
              </w:rPr>
            </w:pPr>
            <w:r w:rsidRPr="0037152C">
              <w:rPr>
                <w:b/>
              </w:rPr>
              <w:t>GPS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77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63.2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81.5</w:t>
            </w:r>
            <w:r w:rsidR="000C5D30">
              <w:t>%</w:t>
            </w:r>
          </w:p>
        </w:tc>
        <w:tc>
          <w:tcPr>
            <w:tcW w:w="1407" w:type="dxa"/>
          </w:tcPr>
          <w:p w:rsidR="00B93B15" w:rsidRPr="00B93B15" w:rsidRDefault="007B62BF" w:rsidP="002816AB">
            <w:r>
              <w:t>82.7</w:t>
            </w:r>
            <w:r w:rsidR="000C5D30">
              <w:t>%</w:t>
            </w:r>
          </w:p>
        </w:tc>
        <w:tc>
          <w:tcPr>
            <w:tcW w:w="1408" w:type="dxa"/>
          </w:tcPr>
          <w:p w:rsidR="00B93B15" w:rsidRPr="00B93B15" w:rsidRDefault="007B62BF" w:rsidP="002816AB">
            <w:r>
              <w:t>19.5</w:t>
            </w:r>
            <w:r w:rsidR="00CB48F5">
              <w:t>%</w:t>
            </w:r>
          </w:p>
        </w:tc>
      </w:tr>
    </w:tbl>
    <w:p w:rsidR="00B93B15" w:rsidRDefault="00B93B15" w:rsidP="0006496C"/>
    <w:p w:rsidR="006C1451" w:rsidRDefault="006C1451" w:rsidP="0006496C">
      <w:r>
        <w:t>The progress that the children make is measured against their achievement at Key Stage 1 and is recorded as a positive or minus number. The larger the number the better the progress. Pupil Premium children at Key Stage 2 made excellent progress, compared to others in the school and National Averages. The following table shows these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1451" w:rsidTr="006C1451">
        <w:tc>
          <w:tcPr>
            <w:tcW w:w="2254" w:type="dxa"/>
          </w:tcPr>
          <w:p w:rsidR="006C1451" w:rsidRDefault="006C1451" w:rsidP="0006496C"/>
        </w:tc>
        <w:tc>
          <w:tcPr>
            <w:tcW w:w="2254" w:type="dxa"/>
          </w:tcPr>
          <w:p w:rsidR="006C1451" w:rsidRPr="006C1451" w:rsidRDefault="006C1451" w:rsidP="0006496C">
            <w:pPr>
              <w:rPr>
                <w:b/>
              </w:rPr>
            </w:pPr>
            <w:r w:rsidRPr="006C1451">
              <w:rPr>
                <w:b/>
              </w:rPr>
              <w:t>School Average</w:t>
            </w:r>
          </w:p>
        </w:tc>
        <w:tc>
          <w:tcPr>
            <w:tcW w:w="2254" w:type="dxa"/>
          </w:tcPr>
          <w:p w:rsidR="006C1451" w:rsidRPr="006C1451" w:rsidRDefault="006C1451" w:rsidP="0006496C">
            <w:pPr>
              <w:rPr>
                <w:b/>
              </w:rPr>
            </w:pPr>
            <w:r w:rsidRPr="006C1451">
              <w:rPr>
                <w:b/>
              </w:rPr>
              <w:t>PP Average</w:t>
            </w:r>
          </w:p>
        </w:tc>
        <w:tc>
          <w:tcPr>
            <w:tcW w:w="2254" w:type="dxa"/>
          </w:tcPr>
          <w:p w:rsidR="006C1451" w:rsidRPr="006C1451" w:rsidRDefault="006C1451" w:rsidP="0006496C">
            <w:pPr>
              <w:rPr>
                <w:b/>
              </w:rPr>
            </w:pPr>
            <w:r w:rsidRPr="006C1451">
              <w:rPr>
                <w:b/>
              </w:rPr>
              <w:t>National Average</w:t>
            </w:r>
          </w:p>
        </w:tc>
      </w:tr>
      <w:tr w:rsidR="006C1451" w:rsidTr="006C1451">
        <w:tc>
          <w:tcPr>
            <w:tcW w:w="2254" w:type="dxa"/>
          </w:tcPr>
          <w:p w:rsidR="006C1451" w:rsidRPr="006C1451" w:rsidRDefault="006C1451" w:rsidP="0006496C">
            <w:pPr>
              <w:rPr>
                <w:b/>
              </w:rPr>
            </w:pPr>
            <w:r w:rsidRPr="006C1451">
              <w:rPr>
                <w:b/>
              </w:rPr>
              <w:t>Reading</w:t>
            </w:r>
          </w:p>
        </w:tc>
        <w:tc>
          <w:tcPr>
            <w:tcW w:w="2254" w:type="dxa"/>
          </w:tcPr>
          <w:p w:rsidR="006C1451" w:rsidRDefault="007D551F" w:rsidP="0006496C">
            <w:r>
              <w:t>+</w:t>
            </w:r>
            <w:r w:rsidR="007B62BF">
              <w:t>1.4</w:t>
            </w:r>
          </w:p>
        </w:tc>
        <w:tc>
          <w:tcPr>
            <w:tcW w:w="2254" w:type="dxa"/>
          </w:tcPr>
          <w:p w:rsidR="006C1451" w:rsidRDefault="007D551F" w:rsidP="0006496C">
            <w:r>
              <w:t>+</w:t>
            </w:r>
            <w:r w:rsidR="00DE69B6">
              <w:t xml:space="preserve"> (</w:t>
            </w:r>
            <w:r w:rsidR="007B62BF">
              <w:t>not yet available)</w:t>
            </w:r>
          </w:p>
        </w:tc>
        <w:tc>
          <w:tcPr>
            <w:tcW w:w="2254" w:type="dxa"/>
          </w:tcPr>
          <w:p w:rsidR="006C1451" w:rsidRDefault="007B62BF" w:rsidP="0006496C">
            <w:r>
              <w:t>+0.0</w:t>
            </w:r>
          </w:p>
        </w:tc>
      </w:tr>
      <w:tr w:rsidR="00DE69B6" w:rsidTr="006C1451">
        <w:tc>
          <w:tcPr>
            <w:tcW w:w="2254" w:type="dxa"/>
          </w:tcPr>
          <w:p w:rsidR="00DE69B6" w:rsidRPr="006C1451" w:rsidRDefault="00DE69B6" w:rsidP="00DE69B6">
            <w:pPr>
              <w:rPr>
                <w:b/>
              </w:rPr>
            </w:pPr>
            <w:r w:rsidRPr="006C1451">
              <w:rPr>
                <w:b/>
              </w:rPr>
              <w:t>Writing</w:t>
            </w:r>
          </w:p>
        </w:tc>
        <w:tc>
          <w:tcPr>
            <w:tcW w:w="2254" w:type="dxa"/>
          </w:tcPr>
          <w:p w:rsidR="00DE69B6" w:rsidRDefault="00DE69B6" w:rsidP="00DE69B6">
            <w:r>
              <w:t>+2.3</w:t>
            </w:r>
          </w:p>
        </w:tc>
        <w:tc>
          <w:tcPr>
            <w:tcW w:w="2254" w:type="dxa"/>
          </w:tcPr>
          <w:p w:rsidR="00DE69B6" w:rsidRDefault="00DE69B6" w:rsidP="00DE69B6">
            <w:r>
              <w:t>+ (not yet available)</w:t>
            </w:r>
          </w:p>
        </w:tc>
        <w:tc>
          <w:tcPr>
            <w:tcW w:w="2254" w:type="dxa"/>
          </w:tcPr>
          <w:p w:rsidR="00DE69B6" w:rsidRDefault="00DE69B6" w:rsidP="00DE69B6">
            <w:r>
              <w:t>+0.0</w:t>
            </w:r>
          </w:p>
        </w:tc>
      </w:tr>
      <w:tr w:rsidR="00DE69B6" w:rsidTr="006C1451">
        <w:tc>
          <w:tcPr>
            <w:tcW w:w="2254" w:type="dxa"/>
          </w:tcPr>
          <w:p w:rsidR="00DE69B6" w:rsidRPr="006C1451" w:rsidRDefault="00DE69B6" w:rsidP="00DE69B6">
            <w:pPr>
              <w:rPr>
                <w:b/>
              </w:rPr>
            </w:pPr>
            <w:r w:rsidRPr="006C1451">
              <w:rPr>
                <w:b/>
              </w:rPr>
              <w:t>Maths</w:t>
            </w:r>
          </w:p>
        </w:tc>
        <w:tc>
          <w:tcPr>
            <w:tcW w:w="2254" w:type="dxa"/>
          </w:tcPr>
          <w:p w:rsidR="00DE69B6" w:rsidRDefault="00DE69B6" w:rsidP="00DE69B6">
            <w:r>
              <w:t>+0.7</w:t>
            </w:r>
          </w:p>
        </w:tc>
        <w:tc>
          <w:tcPr>
            <w:tcW w:w="2254" w:type="dxa"/>
          </w:tcPr>
          <w:p w:rsidR="00DE69B6" w:rsidRDefault="00DE69B6" w:rsidP="00DE69B6">
            <w:r>
              <w:t>+ (not yet available)</w:t>
            </w:r>
          </w:p>
        </w:tc>
        <w:tc>
          <w:tcPr>
            <w:tcW w:w="2254" w:type="dxa"/>
          </w:tcPr>
          <w:p w:rsidR="00DE69B6" w:rsidRDefault="00DE69B6" w:rsidP="00DE69B6">
            <w:r>
              <w:t>+0.0</w:t>
            </w:r>
          </w:p>
        </w:tc>
      </w:tr>
    </w:tbl>
    <w:p w:rsidR="006C1451" w:rsidRDefault="006C1451" w:rsidP="0006496C"/>
    <w:p w:rsidR="006C0226" w:rsidRDefault="006C0226" w:rsidP="0006496C">
      <w:r>
        <w:t>Pupil Premium children not only outscore the National average but make more accelerated progress in Writing and Maths than the rest of the school.</w:t>
      </w:r>
    </w:p>
    <w:p w:rsidR="006C1451" w:rsidRPr="00B93B15" w:rsidRDefault="006C1451" w:rsidP="0006496C"/>
    <w:p w:rsidR="00B93B15" w:rsidRPr="00174CD7" w:rsidRDefault="00B93B15" w:rsidP="0006496C">
      <w:pPr>
        <w:rPr>
          <w:highlight w:val="cyan"/>
        </w:rPr>
      </w:pPr>
    </w:p>
    <w:p w:rsidR="00DA5F25" w:rsidRDefault="00DA5F25" w:rsidP="00DA5F25">
      <w:pPr>
        <w:rPr>
          <w:u w:val="single"/>
        </w:rPr>
      </w:pPr>
      <w:r w:rsidRPr="006C0226">
        <w:rPr>
          <w:u w:val="single"/>
        </w:rPr>
        <w:t>Key Stage 1</w:t>
      </w:r>
    </w:p>
    <w:p w:rsidR="006F5B91" w:rsidRDefault="008C55B1" w:rsidP="00DA5F25">
      <w:r w:rsidRPr="008C55B1">
        <w:t>Th</w:t>
      </w:r>
      <w:r>
        <w:t>e results in K</w:t>
      </w:r>
      <w:r w:rsidR="008F6D1B">
        <w:t>ey Stage 1 have risen significantly over the last 3 years</w:t>
      </w:r>
      <w:r w:rsidR="00EC3986">
        <w:t>, although this year they have been slightly lower due to the amount of children with Special Educational Needs</w:t>
      </w:r>
      <w:r>
        <w:t xml:space="preserve">. </w:t>
      </w:r>
      <w:r w:rsidR="006F5B91">
        <w:t>As with Key Stage 2 there is a high proportion of children who are eligible for pupil premium fundi</w:t>
      </w:r>
      <w:r w:rsidR="00EC3986">
        <w:t>ng for this Year group it was 43.6</w:t>
      </w:r>
      <w:r w:rsidR="006F5B91">
        <w:t>% co</w:t>
      </w:r>
      <w:r w:rsidR="008F6D1B">
        <w:t>mpared with a Kent average of 21</w:t>
      </w:r>
      <w:r w:rsidR="006F5B91">
        <w:t>%.</w:t>
      </w:r>
    </w:p>
    <w:p w:rsidR="008C55B1" w:rsidRDefault="008C55B1" w:rsidP="00DA5F25">
      <w:r>
        <w:t xml:space="preserve">The gap between achievement of pupil premium children and </w:t>
      </w:r>
      <w:r w:rsidR="006F5B91">
        <w:t>non-pupil</w:t>
      </w:r>
      <w:r w:rsidR="00124DDE">
        <w:t xml:space="preserve"> premium children i</w:t>
      </w:r>
      <w:r w:rsidR="008F6D1B">
        <w:t>s much lowe</w:t>
      </w:r>
      <w:r w:rsidR="00A558C5">
        <w:t>r than the Kent average and pupil premium children achieve above the Kent average in all subjects. Our</w:t>
      </w:r>
      <w:r>
        <w:t xml:space="preserve"> pupil premium children who do not have any Special</w:t>
      </w:r>
      <w:r w:rsidR="00124DDE">
        <w:t xml:space="preserve"> Educational Needs </w:t>
      </w:r>
      <w:r w:rsidR="00A558C5">
        <w:t xml:space="preserve">also </w:t>
      </w:r>
      <w:r w:rsidR="00124DDE">
        <w:t xml:space="preserve">achieve </w:t>
      </w:r>
      <w:r w:rsidR="00124DDE">
        <w:lastRenderedPageBreak/>
        <w:t>above</w:t>
      </w:r>
      <w:r>
        <w:t xml:space="preserve"> the Local Authority Average in all areas. Pupil Prem</w:t>
      </w:r>
      <w:r w:rsidR="00A558C5">
        <w:t>ium children with SEN make up 13</w:t>
      </w:r>
      <w:r>
        <w:t>% of the cohort, for the Local Authority this figure is 4</w:t>
      </w:r>
      <w:r w:rsidR="00A558C5">
        <w:t>.3</w:t>
      </w:r>
      <w:r>
        <w:t>%</w:t>
      </w:r>
    </w:p>
    <w:p w:rsidR="008C55B1" w:rsidRDefault="008C55B1" w:rsidP="00DA5F25">
      <w:r>
        <w:t>The following tables outline the school’s performance at Key Stage 1</w:t>
      </w:r>
    </w:p>
    <w:p w:rsidR="00FA3FFB" w:rsidRDefault="00FA3FFB" w:rsidP="008C55B1"/>
    <w:p w:rsidR="008C55B1" w:rsidRPr="00B93B15" w:rsidRDefault="008C55B1" w:rsidP="008C55B1">
      <w:r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08"/>
      </w:tblGrid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Average</w:t>
            </w: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PP</w:t>
            </w: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PP no SEN</w:t>
            </w: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Non PP</w:t>
            </w:r>
          </w:p>
        </w:tc>
        <w:tc>
          <w:tcPr>
            <w:tcW w:w="1408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Gap</w:t>
            </w:r>
          </w:p>
        </w:tc>
      </w:tr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65</w:t>
            </w:r>
            <w:r w:rsidR="008F102B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60</w:t>
            </w:r>
            <w:r w:rsidR="008F102B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72.3</w:t>
            </w:r>
            <w:r w:rsidR="008F102B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70</w:t>
            </w:r>
            <w:r w:rsidR="008F102B">
              <w:t>%</w:t>
            </w:r>
          </w:p>
        </w:tc>
        <w:tc>
          <w:tcPr>
            <w:tcW w:w="1408" w:type="dxa"/>
          </w:tcPr>
          <w:p w:rsidR="008C55B1" w:rsidRPr="00B93B15" w:rsidRDefault="002D1B71" w:rsidP="002816AB">
            <w:r>
              <w:t>10</w:t>
            </w:r>
            <w:r w:rsidR="008F102B">
              <w:t>%</w:t>
            </w:r>
          </w:p>
        </w:tc>
      </w:tr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58.2</w:t>
            </w:r>
            <w:r w:rsidR="008F102B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48</w:t>
            </w:r>
            <w:r w:rsidR="008F102B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66</w:t>
            </w:r>
            <w:r w:rsidR="008F102B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66.7</w:t>
            </w:r>
            <w:r w:rsidR="008F102B">
              <w:t>%</w:t>
            </w:r>
          </w:p>
        </w:tc>
        <w:tc>
          <w:tcPr>
            <w:tcW w:w="1408" w:type="dxa"/>
          </w:tcPr>
          <w:p w:rsidR="008C55B1" w:rsidRPr="00B93B15" w:rsidRDefault="002D1B71" w:rsidP="002816AB">
            <w:r>
              <w:t>18.7</w:t>
            </w:r>
            <w:r w:rsidR="008F102B">
              <w:t>%</w:t>
            </w:r>
          </w:p>
        </w:tc>
      </w:tr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Maths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61.8</w:t>
            </w:r>
            <w:r w:rsidR="002D67F0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56</w:t>
            </w:r>
            <w:r w:rsidR="002D67F0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75.6</w:t>
            </w:r>
            <w:r w:rsidR="002D67F0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66.7</w:t>
            </w:r>
            <w:r w:rsidR="002D67F0">
              <w:t>%</w:t>
            </w:r>
          </w:p>
        </w:tc>
        <w:tc>
          <w:tcPr>
            <w:tcW w:w="1408" w:type="dxa"/>
          </w:tcPr>
          <w:p w:rsidR="008C55B1" w:rsidRPr="00B93B15" w:rsidRDefault="002D1B71" w:rsidP="002816AB">
            <w:r>
              <w:t>10.7</w:t>
            </w:r>
            <w:r w:rsidR="002D67F0">
              <w:t>%</w:t>
            </w:r>
          </w:p>
        </w:tc>
      </w:tr>
    </w:tbl>
    <w:p w:rsidR="008C55B1" w:rsidRDefault="008C55B1" w:rsidP="008C55B1">
      <w:pPr>
        <w:rPr>
          <w:highlight w:val="cyan"/>
        </w:rPr>
      </w:pPr>
    </w:p>
    <w:p w:rsidR="008C55B1" w:rsidRDefault="008C55B1" w:rsidP="008C55B1">
      <w:r w:rsidRPr="00B93B15">
        <w:t>Local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07"/>
        <w:gridCol w:w="1407"/>
        <w:gridCol w:w="1407"/>
        <w:gridCol w:w="1407"/>
        <w:gridCol w:w="1408"/>
      </w:tblGrid>
      <w:tr w:rsidR="008C55B1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Average</w:t>
            </w: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PP</w:t>
            </w: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PP no SEN</w:t>
            </w:r>
          </w:p>
        </w:tc>
        <w:tc>
          <w:tcPr>
            <w:tcW w:w="1407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Non PP</w:t>
            </w:r>
          </w:p>
        </w:tc>
        <w:tc>
          <w:tcPr>
            <w:tcW w:w="1408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Gap</w:t>
            </w:r>
          </w:p>
        </w:tc>
      </w:tr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76.1</w:t>
            </w:r>
            <w:r w:rsidR="00124226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69.1</w:t>
            </w:r>
            <w:r w:rsidR="00124226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78.9</w:t>
            </w:r>
            <w:r w:rsidR="00124226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80</w:t>
            </w:r>
            <w:r w:rsidR="00124226">
              <w:t>%</w:t>
            </w:r>
          </w:p>
        </w:tc>
        <w:tc>
          <w:tcPr>
            <w:tcW w:w="1408" w:type="dxa"/>
          </w:tcPr>
          <w:p w:rsidR="008C55B1" w:rsidRPr="00B93B15" w:rsidRDefault="002D1B71" w:rsidP="002816AB">
            <w:r>
              <w:t>20.9</w:t>
            </w:r>
            <w:r w:rsidR="00124226">
              <w:t>%</w:t>
            </w:r>
          </w:p>
        </w:tc>
      </w:tr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71.2</w:t>
            </w:r>
            <w:r w:rsidR="00124DDE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53</w:t>
            </w:r>
            <w:r w:rsidR="00124DDE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74.2</w:t>
            </w:r>
            <w:r w:rsidR="00124DDE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75.5</w:t>
            </w:r>
            <w:r w:rsidR="00124DDE">
              <w:t>%</w:t>
            </w:r>
          </w:p>
        </w:tc>
        <w:tc>
          <w:tcPr>
            <w:tcW w:w="1408" w:type="dxa"/>
          </w:tcPr>
          <w:p w:rsidR="008C55B1" w:rsidRPr="00B93B15" w:rsidRDefault="002D1B71" w:rsidP="002816AB">
            <w:r>
              <w:t>22.5</w:t>
            </w:r>
            <w:r w:rsidR="00124DDE">
              <w:t>%</w:t>
            </w:r>
          </w:p>
        </w:tc>
      </w:tr>
      <w:tr w:rsidR="008C55B1" w:rsidRPr="00B93B15" w:rsidTr="002816AB">
        <w:tc>
          <w:tcPr>
            <w:tcW w:w="1980" w:type="dxa"/>
          </w:tcPr>
          <w:p w:rsidR="008C55B1" w:rsidRPr="0037152C" w:rsidRDefault="008C55B1" w:rsidP="002816AB">
            <w:pPr>
              <w:rPr>
                <w:b/>
              </w:rPr>
            </w:pPr>
            <w:r w:rsidRPr="0037152C">
              <w:rPr>
                <w:b/>
              </w:rPr>
              <w:t>Maths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77.5</w:t>
            </w:r>
            <w:r w:rsidR="00124DDE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61.6</w:t>
            </w:r>
            <w:r w:rsidR="00124DDE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80.3</w:t>
            </w:r>
            <w:r w:rsidR="00124DDE">
              <w:t>%</w:t>
            </w:r>
          </w:p>
        </w:tc>
        <w:tc>
          <w:tcPr>
            <w:tcW w:w="1407" w:type="dxa"/>
          </w:tcPr>
          <w:p w:rsidR="008C55B1" w:rsidRPr="00B93B15" w:rsidRDefault="002D1B71" w:rsidP="002816AB">
            <w:r>
              <w:t>81.2</w:t>
            </w:r>
            <w:r w:rsidR="00124DDE">
              <w:t>%</w:t>
            </w:r>
          </w:p>
        </w:tc>
        <w:tc>
          <w:tcPr>
            <w:tcW w:w="1408" w:type="dxa"/>
          </w:tcPr>
          <w:p w:rsidR="008C55B1" w:rsidRPr="00B93B15" w:rsidRDefault="002D1B71" w:rsidP="002816AB">
            <w:r>
              <w:t>19.6</w:t>
            </w:r>
            <w:r w:rsidR="00124DDE">
              <w:t>%</w:t>
            </w:r>
          </w:p>
        </w:tc>
      </w:tr>
    </w:tbl>
    <w:p w:rsidR="00DA5F25" w:rsidRPr="00174CD7" w:rsidRDefault="00DA5F25" w:rsidP="00DA5F25">
      <w:pPr>
        <w:rPr>
          <w:highlight w:val="cyan"/>
        </w:rPr>
      </w:pPr>
    </w:p>
    <w:p w:rsidR="00174CD7" w:rsidRPr="000C6D71" w:rsidRDefault="00174CD7" w:rsidP="00174CD7">
      <w:pPr>
        <w:rPr>
          <w:u w:val="single"/>
        </w:rPr>
      </w:pPr>
      <w:r w:rsidRPr="000C6D71">
        <w:rPr>
          <w:u w:val="single"/>
        </w:rPr>
        <w:t>Phonics</w:t>
      </w:r>
    </w:p>
    <w:p w:rsidR="00174CD7" w:rsidRDefault="008E2005" w:rsidP="00174CD7">
      <w:r>
        <w:t>The phonics test is taken by children at the end of Year 1 and assesses their ability to use sounds to phonetically read different words. The percentage of children achieving the required stand</w:t>
      </w:r>
      <w:r w:rsidR="002D1B71">
        <w:t>ard in this test is currently 7</w:t>
      </w:r>
      <w:r w:rsidR="000D1453">
        <w:t>9.6</w:t>
      </w:r>
      <w:r w:rsidR="002D1B71">
        <w:t>%, compared to a National Average of 81.9%.</w:t>
      </w:r>
      <w:r w:rsidR="00CD29CF">
        <w:t xml:space="preserve">  63.2%</w:t>
      </w:r>
      <w:r w:rsidR="000D1453">
        <w:t xml:space="preserve"> of </w:t>
      </w:r>
      <w:r w:rsidR="00174CD7" w:rsidRPr="008E2005">
        <w:t>Pupil Premium children</w:t>
      </w:r>
      <w:r w:rsidR="000D1453">
        <w:t xml:space="preserve"> achieved the required standard. </w:t>
      </w:r>
    </w:p>
    <w:p w:rsidR="00FA3FFB" w:rsidRPr="008E2005" w:rsidRDefault="00FA3FFB" w:rsidP="00174CD7"/>
    <w:p w:rsidR="00174CD7" w:rsidRPr="008E2005" w:rsidRDefault="00174CD7" w:rsidP="00174CD7">
      <w:pPr>
        <w:rPr>
          <w:u w:val="single"/>
        </w:rPr>
      </w:pPr>
      <w:r w:rsidRPr="008E2005">
        <w:rPr>
          <w:u w:val="single"/>
        </w:rPr>
        <w:t>Foundation Stage</w:t>
      </w:r>
    </w:p>
    <w:p w:rsidR="00174CD7" w:rsidRPr="008E2005" w:rsidRDefault="008E2005" w:rsidP="00174CD7">
      <w:r>
        <w:t>T</w:t>
      </w:r>
      <w:r w:rsidR="00174CD7" w:rsidRPr="008E2005">
        <w:t xml:space="preserve">his year </w:t>
      </w:r>
      <w:r w:rsidR="00A12AD5">
        <w:rPr>
          <w:b/>
        </w:rPr>
        <w:t>70.2</w:t>
      </w:r>
      <w:r w:rsidR="00174CD7" w:rsidRPr="008E2005">
        <w:rPr>
          <w:b/>
        </w:rPr>
        <w:t>%</w:t>
      </w:r>
      <w:r w:rsidR="00174CD7" w:rsidRPr="008E2005">
        <w:t xml:space="preserve"> of children achieved a GOOD lev</w:t>
      </w:r>
      <w:r w:rsidR="00FA3FFB">
        <w:t>el of development.</w:t>
      </w:r>
      <w:r w:rsidR="00A12AD5">
        <w:t xml:space="preserve"> </w:t>
      </w:r>
      <w:r w:rsidR="00A12AD5" w:rsidRPr="00A12AD5">
        <w:rPr>
          <w:b/>
        </w:rPr>
        <w:t>65</w:t>
      </w:r>
      <w:r w:rsidR="00FA3FFB" w:rsidRPr="00A12AD5">
        <w:rPr>
          <w:b/>
        </w:rPr>
        <w:t>%</w:t>
      </w:r>
      <w:r w:rsidR="00FA3FFB">
        <w:t xml:space="preserve"> of Pupil Premium children achieved a GOOD level </w:t>
      </w:r>
      <w:r w:rsidR="000D1453">
        <w:t>of development</w:t>
      </w:r>
      <w:r w:rsidR="00FA3FFB">
        <w:t>.</w:t>
      </w:r>
      <w:r w:rsidR="000D1453">
        <w:t xml:space="preserve"> Pupil premium children with no SEN ac</w:t>
      </w:r>
      <w:r w:rsidR="00A12AD5">
        <w:t>hieve above average at 73</w:t>
      </w:r>
      <w:r w:rsidR="000D1453">
        <w:t>%.</w:t>
      </w:r>
      <w:r w:rsidR="00FA3FFB">
        <w:t xml:space="preserve"> Pupil</w:t>
      </w:r>
      <w:r w:rsidR="00A12AD5">
        <w:t xml:space="preserve"> premium children achieve above the Kent average of 56.8</w:t>
      </w:r>
      <w:r w:rsidR="00FA3FFB">
        <w:t>%</w:t>
      </w:r>
      <w:r w:rsidR="00A12AD5">
        <w:t xml:space="preserve"> and the gap between our pupil premium and non-pupil premium children is only </w:t>
      </w:r>
      <w:r w:rsidR="00A12AD5" w:rsidRPr="00A12AD5">
        <w:rPr>
          <w:b/>
        </w:rPr>
        <w:t>5.2%</w:t>
      </w:r>
      <w:r w:rsidR="00A12AD5">
        <w:t xml:space="preserve"> compared to the Kent Average of </w:t>
      </w:r>
      <w:r w:rsidR="00992AE6">
        <w:t>20.1%.</w:t>
      </w:r>
    </w:p>
    <w:p w:rsidR="0059706F" w:rsidRPr="00FA3FFB" w:rsidRDefault="00FA3FFB" w:rsidP="0006496C">
      <w:r w:rsidRPr="00FA3FFB">
        <w:t>As with all other year groups there is a far greater number of children in Reception Class who are in receipt of pupil premium funding (over double the Ke</w:t>
      </w:r>
      <w:r w:rsidR="000D1453">
        <w:t>nt average). The fi</w:t>
      </w:r>
      <w:r w:rsidR="00992AE6">
        <w:t>gure for 2017 – 2018 stood at 34.5</w:t>
      </w:r>
      <w:r w:rsidRPr="00FA3FFB">
        <w:t>% compared to the Kent average of 14.4%.</w:t>
      </w:r>
    </w:p>
    <w:p w:rsidR="00B41F4E" w:rsidRPr="00951EB7" w:rsidRDefault="00B41F4E" w:rsidP="0006496C">
      <w:pPr>
        <w:rPr>
          <w:b/>
          <w:u w:val="single"/>
        </w:rPr>
      </w:pPr>
      <w:r w:rsidRPr="00951EB7">
        <w:rPr>
          <w:b/>
          <w:u w:val="single"/>
        </w:rPr>
        <w:t>Barriers to Learning</w:t>
      </w:r>
    </w:p>
    <w:p w:rsidR="00B41F4E" w:rsidRPr="00951EB7" w:rsidRDefault="00B41F4E" w:rsidP="00B41F4E">
      <w:pPr>
        <w:pStyle w:val="ListParagraph"/>
        <w:numPr>
          <w:ilvl w:val="0"/>
          <w:numId w:val="6"/>
        </w:numPr>
      </w:pPr>
      <w:r w:rsidRPr="00951EB7">
        <w:t>Many of the children who are entitled to Pupil Premium funding are also registered within the school as having Special Educational Needs</w:t>
      </w:r>
      <w:r w:rsidR="005411D1">
        <w:t xml:space="preserve">. </w:t>
      </w:r>
    </w:p>
    <w:p w:rsidR="00B41F4E" w:rsidRPr="00951EB7" w:rsidRDefault="00B41F4E" w:rsidP="00B41F4E">
      <w:pPr>
        <w:pStyle w:val="ListParagraph"/>
        <w:numPr>
          <w:ilvl w:val="0"/>
          <w:numId w:val="6"/>
        </w:numPr>
      </w:pPr>
      <w:r w:rsidRPr="00951EB7">
        <w:t>The school has a significant number of casual admissions, the stability of the pupils can affect their results and progress</w:t>
      </w:r>
      <w:r w:rsidR="00C2078C" w:rsidRPr="00951EB7">
        <w:t>, children who remain in the school for more than two years make strong progress</w:t>
      </w:r>
    </w:p>
    <w:p w:rsidR="00B41F4E" w:rsidRPr="00951EB7" w:rsidRDefault="00C2078C" w:rsidP="00B41F4E">
      <w:pPr>
        <w:pStyle w:val="ListParagraph"/>
        <w:numPr>
          <w:ilvl w:val="0"/>
          <w:numId w:val="6"/>
        </w:numPr>
      </w:pPr>
      <w:r w:rsidRPr="00951EB7">
        <w:lastRenderedPageBreak/>
        <w:t>Currently 20% of the school’s role have English as an additional language, many of these pupils are in the early stages of language acquisition</w:t>
      </w:r>
    </w:p>
    <w:p w:rsidR="00DA5F25" w:rsidRDefault="00DA5F25" w:rsidP="00B41F4E">
      <w:pPr>
        <w:pStyle w:val="ListParagraph"/>
        <w:numPr>
          <w:ilvl w:val="0"/>
          <w:numId w:val="6"/>
        </w:numPr>
      </w:pPr>
      <w:r w:rsidRPr="00951EB7">
        <w:t>External social factors beyond the control of an educational setting</w:t>
      </w:r>
      <w:r w:rsidR="00951EB7">
        <w:t>, particularly the high number of children known to Early Help and Social Services.</w:t>
      </w:r>
    </w:p>
    <w:p w:rsidR="005411D1" w:rsidRPr="00951EB7" w:rsidRDefault="005411D1" w:rsidP="00B41F4E">
      <w:pPr>
        <w:pStyle w:val="ListParagraph"/>
        <w:numPr>
          <w:ilvl w:val="0"/>
          <w:numId w:val="6"/>
        </w:numPr>
      </w:pPr>
      <w:r>
        <w:t>This is reflected in our assessments to enable us to accurately measure the impact of our Pupil Premium spending</w:t>
      </w:r>
    </w:p>
    <w:p w:rsidR="00E30AC5" w:rsidRDefault="00E30AC5" w:rsidP="00E30AC5">
      <w:pPr>
        <w:pStyle w:val="ListParagraph"/>
        <w:ind w:left="360"/>
      </w:pPr>
    </w:p>
    <w:p w:rsidR="00C2078C" w:rsidRDefault="00C2078C" w:rsidP="00C2078C"/>
    <w:p w:rsidR="00AD6ABA" w:rsidRPr="00621954" w:rsidRDefault="00AD6ABA" w:rsidP="0006496C"/>
    <w:p w:rsidR="0034221A" w:rsidRPr="0034221A" w:rsidRDefault="0034221A" w:rsidP="0006496C"/>
    <w:p w:rsidR="0006496C" w:rsidRPr="0006496C" w:rsidRDefault="0006496C" w:rsidP="0006496C">
      <w:pPr>
        <w:rPr>
          <w:b/>
        </w:rPr>
      </w:pPr>
    </w:p>
    <w:p w:rsidR="00090B43" w:rsidRDefault="00090B43">
      <w:pPr>
        <w:rPr>
          <w:b/>
          <w:sz w:val="28"/>
          <w:szCs w:val="28"/>
          <w:u w:val="single"/>
        </w:rPr>
      </w:pPr>
    </w:p>
    <w:p w:rsidR="00090B43" w:rsidRDefault="00090B43">
      <w:pPr>
        <w:rPr>
          <w:b/>
          <w:sz w:val="28"/>
          <w:szCs w:val="28"/>
          <w:u w:val="single"/>
        </w:rPr>
      </w:pPr>
    </w:p>
    <w:p w:rsidR="00090B43" w:rsidRDefault="00090B43">
      <w:pPr>
        <w:rPr>
          <w:b/>
          <w:sz w:val="28"/>
          <w:szCs w:val="28"/>
          <w:u w:val="single"/>
        </w:rPr>
      </w:pPr>
    </w:p>
    <w:p w:rsidR="00090B43" w:rsidRDefault="00090B43">
      <w:pPr>
        <w:rPr>
          <w:b/>
          <w:sz w:val="28"/>
          <w:szCs w:val="28"/>
          <w:u w:val="single"/>
        </w:rPr>
      </w:pPr>
    </w:p>
    <w:p w:rsidR="00090B43" w:rsidRDefault="00090B43">
      <w:pPr>
        <w:rPr>
          <w:b/>
          <w:sz w:val="28"/>
          <w:szCs w:val="28"/>
          <w:u w:val="single"/>
        </w:rPr>
      </w:pPr>
    </w:p>
    <w:sectPr w:rsidR="00090B43" w:rsidSect="0041643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D5" w:rsidRDefault="00A12AD5" w:rsidP="009A4971">
      <w:pPr>
        <w:spacing w:after="0" w:line="240" w:lineRule="auto"/>
      </w:pPr>
      <w:r>
        <w:separator/>
      </w:r>
    </w:p>
  </w:endnote>
  <w:endnote w:type="continuationSeparator" w:id="0">
    <w:p w:rsidR="00A12AD5" w:rsidRDefault="00A12AD5" w:rsidP="009A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D5" w:rsidRDefault="00A12AD5" w:rsidP="009A4971">
      <w:pPr>
        <w:spacing w:after="0" w:line="240" w:lineRule="auto"/>
      </w:pPr>
      <w:r>
        <w:separator/>
      </w:r>
    </w:p>
  </w:footnote>
  <w:footnote w:type="continuationSeparator" w:id="0">
    <w:p w:rsidR="00A12AD5" w:rsidRDefault="00A12AD5" w:rsidP="009A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C1D"/>
    <w:multiLevelType w:val="hybridMultilevel"/>
    <w:tmpl w:val="C384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884"/>
    <w:multiLevelType w:val="hybridMultilevel"/>
    <w:tmpl w:val="5B02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31AA"/>
    <w:multiLevelType w:val="hybridMultilevel"/>
    <w:tmpl w:val="1F28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685"/>
    <w:multiLevelType w:val="hybridMultilevel"/>
    <w:tmpl w:val="911EA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B2D7C"/>
    <w:multiLevelType w:val="hybridMultilevel"/>
    <w:tmpl w:val="90B4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DC3"/>
    <w:multiLevelType w:val="hybridMultilevel"/>
    <w:tmpl w:val="3224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D"/>
    <w:rsid w:val="000215A4"/>
    <w:rsid w:val="000508D7"/>
    <w:rsid w:val="0006496C"/>
    <w:rsid w:val="000740A1"/>
    <w:rsid w:val="00084878"/>
    <w:rsid w:val="00090B43"/>
    <w:rsid w:val="000C0AB3"/>
    <w:rsid w:val="000C2295"/>
    <w:rsid w:val="000C5D30"/>
    <w:rsid w:val="000C6D71"/>
    <w:rsid w:val="000D1453"/>
    <w:rsid w:val="00124226"/>
    <w:rsid w:val="00124DDE"/>
    <w:rsid w:val="00174CD7"/>
    <w:rsid w:val="00190214"/>
    <w:rsid w:val="00194462"/>
    <w:rsid w:val="001C01C8"/>
    <w:rsid w:val="00203A2F"/>
    <w:rsid w:val="00232F3C"/>
    <w:rsid w:val="002606F7"/>
    <w:rsid w:val="002816AB"/>
    <w:rsid w:val="002A64E1"/>
    <w:rsid w:val="002D1B71"/>
    <w:rsid w:val="002D67F0"/>
    <w:rsid w:val="002F144A"/>
    <w:rsid w:val="003156AF"/>
    <w:rsid w:val="0034221A"/>
    <w:rsid w:val="0037152C"/>
    <w:rsid w:val="003B326C"/>
    <w:rsid w:val="003C5078"/>
    <w:rsid w:val="003F7D71"/>
    <w:rsid w:val="0041643A"/>
    <w:rsid w:val="004313BE"/>
    <w:rsid w:val="00445695"/>
    <w:rsid w:val="00475AC0"/>
    <w:rsid w:val="00494C06"/>
    <w:rsid w:val="004C6662"/>
    <w:rsid w:val="005411D1"/>
    <w:rsid w:val="00561686"/>
    <w:rsid w:val="00571C8B"/>
    <w:rsid w:val="00576ADF"/>
    <w:rsid w:val="0059706F"/>
    <w:rsid w:val="005A2FEE"/>
    <w:rsid w:val="005D4798"/>
    <w:rsid w:val="00607563"/>
    <w:rsid w:val="00621954"/>
    <w:rsid w:val="006336FE"/>
    <w:rsid w:val="006C0226"/>
    <w:rsid w:val="006C1451"/>
    <w:rsid w:val="006D015E"/>
    <w:rsid w:val="006D3F6C"/>
    <w:rsid w:val="006F5B91"/>
    <w:rsid w:val="00720AAB"/>
    <w:rsid w:val="00727431"/>
    <w:rsid w:val="007768A1"/>
    <w:rsid w:val="007851A1"/>
    <w:rsid w:val="00797271"/>
    <w:rsid w:val="007B62BF"/>
    <w:rsid w:val="007C6697"/>
    <w:rsid w:val="007D551F"/>
    <w:rsid w:val="007F3CB2"/>
    <w:rsid w:val="0083657D"/>
    <w:rsid w:val="0083696E"/>
    <w:rsid w:val="008B18B9"/>
    <w:rsid w:val="008C55B1"/>
    <w:rsid w:val="008E2005"/>
    <w:rsid w:val="008F102B"/>
    <w:rsid w:val="008F6D1B"/>
    <w:rsid w:val="00951EB7"/>
    <w:rsid w:val="00992AE6"/>
    <w:rsid w:val="00997236"/>
    <w:rsid w:val="009A4971"/>
    <w:rsid w:val="009C1B61"/>
    <w:rsid w:val="009C24BE"/>
    <w:rsid w:val="00A0130E"/>
    <w:rsid w:val="00A04321"/>
    <w:rsid w:val="00A12AD5"/>
    <w:rsid w:val="00A30271"/>
    <w:rsid w:val="00A32206"/>
    <w:rsid w:val="00A558C5"/>
    <w:rsid w:val="00A66A60"/>
    <w:rsid w:val="00A904BF"/>
    <w:rsid w:val="00A9092E"/>
    <w:rsid w:val="00AB24BE"/>
    <w:rsid w:val="00AB4C87"/>
    <w:rsid w:val="00AC7325"/>
    <w:rsid w:val="00AD6ABA"/>
    <w:rsid w:val="00B35E57"/>
    <w:rsid w:val="00B41F4E"/>
    <w:rsid w:val="00B4764C"/>
    <w:rsid w:val="00B93B15"/>
    <w:rsid w:val="00BD5D7B"/>
    <w:rsid w:val="00BE4127"/>
    <w:rsid w:val="00C0319C"/>
    <w:rsid w:val="00C064E3"/>
    <w:rsid w:val="00C2078C"/>
    <w:rsid w:val="00C51025"/>
    <w:rsid w:val="00C93A37"/>
    <w:rsid w:val="00CB48F5"/>
    <w:rsid w:val="00CD29CF"/>
    <w:rsid w:val="00CF713A"/>
    <w:rsid w:val="00D02D7C"/>
    <w:rsid w:val="00D15479"/>
    <w:rsid w:val="00D2041E"/>
    <w:rsid w:val="00D24E34"/>
    <w:rsid w:val="00D35645"/>
    <w:rsid w:val="00D42930"/>
    <w:rsid w:val="00D75DF4"/>
    <w:rsid w:val="00DA3733"/>
    <w:rsid w:val="00DA5F25"/>
    <w:rsid w:val="00DE69B6"/>
    <w:rsid w:val="00DE7783"/>
    <w:rsid w:val="00E30AC5"/>
    <w:rsid w:val="00E36693"/>
    <w:rsid w:val="00E73163"/>
    <w:rsid w:val="00E7435D"/>
    <w:rsid w:val="00EB42C7"/>
    <w:rsid w:val="00EC3986"/>
    <w:rsid w:val="00F5316C"/>
    <w:rsid w:val="00F8588D"/>
    <w:rsid w:val="00F92F5A"/>
    <w:rsid w:val="00FA3FFB"/>
    <w:rsid w:val="00FC6C3A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6B76"/>
  <w15:docId w15:val="{55E9B20B-95E5-4818-88E7-7AEF7DEF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7D"/>
    <w:pPr>
      <w:ind w:left="720"/>
      <w:contextualSpacing/>
    </w:pPr>
  </w:style>
  <w:style w:type="paragraph" w:customStyle="1" w:styleId="Default">
    <w:name w:val="Default"/>
    <w:rsid w:val="003C507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3C5078"/>
    <w:pPr>
      <w:spacing w:after="0" w:line="240" w:lineRule="auto"/>
    </w:pPr>
  </w:style>
  <w:style w:type="table" w:styleId="TableGrid">
    <w:name w:val="Table Grid"/>
    <w:basedOn w:val="TableNormal"/>
    <w:uiPriority w:val="59"/>
    <w:rsid w:val="003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71"/>
  </w:style>
  <w:style w:type="paragraph" w:styleId="Footer">
    <w:name w:val="footer"/>
    <w:basedOn w:val="Normal"/>
    <w:link w:val="FooterChar"/>
    <w:uiPriority w:val="99"/>
    <w:unhideWhenUsed/>
    <w:rsid w:val="009A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5AB5E4EC</Template>
  <TotalTime>2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Hill Community School, FOLKESTONE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Talbot</dc:creator>
  <cp:lastModifiedBy>S.Parsons</cp:lastModifiedBy>
  <cp:revision>3</cp:revision>
  <cp:lastPrinted>2017-09-13T14:36:00Z</cp:lastPrinted>
  <dcterms:created xsi:type="dcterms:W3CDTF">2019-09-25T11:55:00Z</dcterms:created>
  <dcterms:modified xsi:type="dcterms:W3CDTF">2019-09-25T11:57:00Z</dcterms:modified>
</cp:coreProperties>
</file>